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8"/>
        <w:jc w:val="both"/>
        <w:rPr>
          <w:rFonts w:ascii="华文仿宋" w:hAnsi="华文仿宋" w:eastAsia="华文仿宋" w:cs="华文仿宋"/>
          <w:sz w:val="60"/>
          <w:szCs w:val="60"/>
        </w:rPr>
      </w:pPr>
    </w:p>
    <w:p w14:paraId="2C41E0B2">
      <w:pPr>
        <w:pStyle w:val="18"/>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8"/>
        <w:rPr>
          <w:rFonts w:ascii="华文仿宋" w:hAnsi="华文仿宋" w:eastAsia="华文仿宋" w:cs="华文仿宋"/>
          <w:sz w:val="60"/>
          <w:szCs w:val="60"/>
        </w:rPr>
      </w:pPr>
    </w:p>
    <w:p w14:paraId="5999D30C">
      <w:pPr>
        <w:pStyle w:val="18"/>
        <w:rPr>
          <w:rFonts w:ascii="华文仿宋" w:hAnsi="华文仿宋" w:eastAsia="华文仿宋" w:cs="华文仿宋"/>
          <w:sz w:val="60"/>
          <w:szCs w:val="60"/>
        </w:rPr>
      </w:pPr>
    </w:p>
    <w:p w14:paraId="6CD2194E">
      <w:pPr>
        <w:pStyle w:val="18"/>
        <w:rPr>
          <w:rFonts w:hint="eastAsia" w:ascii="华文仿宋" w:hAnsi="华文仿宋" w:eastAsia="华文仿宋" w:cs="华文仿宋"/>
          <w:sz w:val="56"/>
          <w:szCs w:val="56"/>
          <w:lang w:eastAsia="zh-CN"/>
        </w:rPr>
      </w:pPr>
      <w:r>
        <w:rPr>
          <w:rFonts w:hint="eastAsia" w:ascii="华文仿宋" w:hAnsi="华文仿宋" w:eastAsia="华文仿宋"/>
          <w:sz w:val="56"/>
          <w:szCs w:val="56"/>
        </w:rPr>
        <w:t>电子认证服务系统维保服务项目</w:t>
      </w:r>
      <w:r>
        <w:rPr>
          <w:rFonts w:hint="eastAsia" w:ascii="华文仿宋" w:hAnsi="华文仿宋" w:eastAsia="华文仿宋"/>
          <w:sz w:val="56"/>
          <w:szCs w:val="56"/>
          <w:lang w:eastAsia="zh-CN"/>
        </w:rPr>
        <w:t>（</w:t>
      </w:r>
      <w:r>
        <w:rPr>
          <w:rFonts w:hint="eastAsia" w:ascii="华文仿宋" w:hAnsi="华文仿宋" w:eastAsia="华文仿宋"/>
          <w:sz w:val="56"/>
          <w:szCs w:val="56"/>
          <w:lang w:val="en-US" w:eastAsia="zh-CN"/>
        </w:rPr>
        <w:t>第二次</w:t>
      </w:r>
      <w:r>
        <w:rPr>
          <w:rFonts w:hint="eastAsia" w:ascii="华文仿宋" w:hAnsi="华文仿宋" w:eastAsia="华文仿宋"/>
          <w:sz w:val="56"/>
          <w:szCs w:val="56"/>
          <w:lang w:eastAsia="zh-CN"/>
        </w:rPr>
        <w:t>）</w:t>
      </w:r>
    </w:p>
    <w:p w14:paraId="0D5492EA">
      <w:pPr>
        <w:pStyle w:val="18"/>
        <w:rPr>
          <w:rFonts w:ascii="华文仿宋" w:hAnsi="华文仿宋" w:eastAsia="华文仿宋" w:cs="华文仿宋"/>
          <w:sz w:val="60"/>
          <w:szCs w:val="60"/>
        </w:rPr>
      </w:pPr>
    </w:p>
    <w:p w14:paraId="49CE0E9F">
      <w:pPr>
        <w:pStyle w:val="18"/>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1"/>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遴选编号：2025-ETLXXXB-01</w:t>
      </w:r>
      <w:r>
        <w:rPr>
          <w:rFonts w:hint="eastAsia" w:ascii="华文仿宋" w:hAnsi="华文仿宋" w:eastAsia="华文仿宋" w:cs="华文仿宋"/>
          <w:b/>
          <w:sz w:val="36"/>
          <w:szCs w:val="20"/>
          <w:lang w:val="en-US" w:eastAsia="zh-CN"/>
        </w:rPr>
        <w:t>6（第二次）</w:t>
      </w:r>
    </w:p>
    <w:p w14:paraId="39F41592">
      <w:pPr>
        <w:pStyle w:val="18"/>
        <w:rPr>
          <w:rFonts w:ascii="华文仿宋" w:hAnsi="华文仿宋" w:eastAsia="华文仿宋" w:cs="华文仿宋"/>
          <w:sz w:val="36"/>
        </w:rPr>
      </w:pPr>
    </w:p>
    <w:p w14:paraId="52226836">
      <w:pPr>
        <w:pStyle w:val="18"/>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p>
    <w:p w14:paraId="3DB69250">
      <w:pPr>
        <w:pStyle w:val="18"/>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2"/>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遴选编号：2025-ETLXXXB-01</w:t>
      </w:r>
      <w:r>
        <w:rPr>
          <w:rFonts w:hint="eastAsia" w:ascii="宋体" w:hAnsi="宋体" w:cs="宋体"/>
          <w:sz w:val="24"/>
          <w:lang w:val="en-US" w:eastAsia="zh-CN"/>
        </w:rPr>
        <w:t>6（第二次）</w:t>
      </w:r>
    </w:p>
    <w:p w14:paraId="6350636D">
      <w:pPr>
        <w:pStyle w:val="3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3"/>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电子认证服务系统维保服务</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366E56EE">
            <w:pPr>
              <w:jc w:val="center"/>
              <w:rPr>
                <w:rFonts w:hint="eastAsia"/>
              </w:rPr>
            </w:pPr>
            <w:r>
              <w:drawing>
                <wp:inline distT="0" distB="0" distL="114300" distR="114300">
                  <wp:extent cx="1382395" cy="1371600"/>
                  <wp:effectExtent l="0" t="0" r="444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1382395" cy="1371600"/>
                          </a:xfrm>
                          <a:prstGeom prst="rect">
                            <a:avLst/>
                          </a:prstGeom>
                          <a:noFill/>
                          <a:ln>
                            <a:noFill/>
                          </a:ln>
                        </pic:spPr>
                      </pic:pic>
                    </a:graphicData>
                  </a:graphic>
                </wp:inline>
              </w:drawing>
            </w:r>
          </w:p>
          <w:p w14:paraId="4CFD3639">
            <w:pPr>
              <w:jc w:val="center"/>
            </w:pPr>
            <w:r>
              <w:rPr>
                <w:rFonts w:hint="eastAsia"/>
              </w:rPr>
              <w:t>https://gysgl.shchildren.com.cn:9088/supplier/hospital/visit?pc=40873543-41045965</w:t>
            </w:r>
          </w:p>
        </w:tc>
      </w:tr>
    </w:tbl>
    <w:p w14:paraId="7C0828AA">
      <w:pPr>
        <w:pStyle w:val="33"/>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3"/>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3"/>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3"/>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w:t>
      </w:r>
      <w:bookmarkStart w:id="10" w:name="_GoBack"/>
      <w:r>
        <w:rPr>
          <w:rFonts w:hint="eastAsia" w:ascii="宋体" w:hAnsi="宋体" w:eastAsia="宋体" w:cs="宋体"/>
          <w:bCs/>
          <w:sz w:val="24"/>
          <w:szCs w:val="24"/>
        </w:rPr>
        <w:t>行人名单、重大税收违法案件当事人名单。</w:t>
      </w:r>
    </w:p>
    <w:bookmarkEnd w:id="10"/>
    <w:p w14:paraId="41AEA0C0">
      <w:pPr>
        <w:pStyle w:val="33"/>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3"/>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3"/>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5年12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9"/>
          <w:rFonts w:hint="eastAsia" w:ascii="宋体" w:hAnsi="宋体" w:eastAsia="宋体"/>
          <w:sz w:val="24"/>
          <w:szCs w:val="24"/>
        </w:rPr>
        <w:t>https://www.shchildren.com.cn/channels/641.html</w:t>
      </w:r>
      <w:r>
        <w:rPr>
          <w:rStyle w:val="29"/>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3"/>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3"/>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3"/>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3"/>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3"/>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3"/>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9"/>
          <w:rFonts w:hint="eastAsia" w:ascii="宋体" w:hAnsi="宋体" w:eastAsia="宋体" w:cs="宋体"/>
          <w:sz w:val="24"/>
          <w:szCs w:val="24"/>
        </w:rPr>
        <w:t>liyi@shchildren.com.cn</w:t>
      </w:r>
      <w:r>
        <w:rPr>
          <w:rStyle w:val="29"/>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3"/>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3"/>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3"/>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9"/>
          <w:rFonts w:hint="eastAsia" w:ascii="宋体" w:hAnsi="宋体" w:cs="宋体"/>
          <w:sz w:val="24"/>
        </w:rPr>
        <w:fldChar w:fldCharType="begin"/>
      </w:r>
      <w:r>
        <w:rPr>
          <w:rStyle w:val="29"/>
          <w:rFonts w:hint="eastAsia" w:ascii="宋体" w:hAnsi="宋体" w:cs="宋体"/>
          <w:sz w:val="24"/>
        </w:rPr>
        <w:instrText xml:space="preserve"> HYPERLINK "mailto: baij@shchildren.com.cn" </w:instrText>
      </w:r>
      <w:r>
        <w:rPr>
          <w:rStyle w:val="29"/>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9"/>
          <w:rFonts w:hint="eastAsia" w:ascii="宋体" w:hAnsi="宋体" w:cs="宋体"/>
          <w:sz w:val="24"/>
        </w:rPr>
        <w:t>liyi@shchildren.com.cn</w:t>
      </w:r>
      <w:r>
        <w:rPr>
          <w:rStyle w:val="29"/>
          <w:rFonts w:hint="eastAsia" w:ascii="宋体" w:hAnsi="宋体" w:cs="宋体"/>
          <w:sz w:val="24"/>
        </w:rPr>
        <w:fldChar w:fldCharType="end"/>
      </w:r>
      <w:r>
        <w:rPr>
          <w:rStyle w:val="29"/>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3"/>
        <w:autoSpaceDE w:val="0"/>
        <w:autoSpaceDN w:val="0"/>
        <w:spacing w:line="360" w:lineRule="exact"/>
        <w:ind w:left="239" w:leftChars="114" w:firstLine="240" w:firstLineChars="10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17</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2025年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17</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3"/>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2"/>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2"/>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3"/>
        <w:tblW w:w="8796" w:type="dxa"/>
        <w:tblInd w:w="0" w:type="dxa"/>
        <w:tblLayout w:type="fixed"/>
        <w:tblCellMar>
          <w:top w:w="0" w:type="dxa"/>
          <w:left w:w="108" w:type="dxa"/>
          <w:bottom w:w="0" w:type="dxa"/>
          <w:right w:w="108" w:type="dxa"/>
        </w:tblCellMar>
      </w:tblPr>
      <w:tblGrid>
        <w:gridCol w:w="864"/>
        <w:gridCol w:w="1334"/>
        <w:gridCol w:w="1053"/>
        <w:gridCol w:w="5545"/>
      </w:tblGrid>
      <w:tr w14:paraId="0C2D0F76">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6F4842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0BCFC4DC">
            <w:pPr>
              <w:widowControl/>
              <w:jc w:val="center"/>
              <w:textAlignment w:val="center"/>
              <w:rPr>
                <w:rFonts w:hint="eastAsia" w:ascii="宋体" w:hAnsi="宋体" w:cs="宋体"/>
                <w:color w:val="000000"/>
                <w:sz w:val="24"/>
              </w:rPr>
            </w:pPr>
            <w:r>
              <w:rPr>
                <w:rStyle w:val="43"/>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2DC66280">
            <w:pPr>
              <w:widowControl/>
              <w:jc w:val="center"/>
              <w:textAlignment w:val="center"/>
              <w:rPr>
                <w:rFonts w:hint="eastAsia"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544911F2">
            <w:pPr>
              <w:widowControl/>
              <w:jc w:val="center"/>
              <w:textAlignment w:val="center"/>
              <w:rPr>
                <w:rFonts w:hint="eastAsia" w:ascii="宋体" w:hAnsi="宋体" w:cs="宋体"/>
                <w:sz w:val="24"/>
              </w:rPr>
            </w:pPr>
            <w:r>
              <w:rPr>
                <w:rStyle w:val="43"/>
                <w:rFonts w:hint="default"/>
                <w:color w:val="auto"/>
                <w:lang w:bidi="ar"/>
              </w:rPr>
              <w:t>评分要点及说明</w:t>
            </w:r>
          </w:p>
        </w:tc>
      </w:tr>
      <w:tr w14:paraId="673371BB">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9179DC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1BA79B3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7AD01069">
            <w:pPr>
              <w:widowControl/>
              <w:jc w:val="center"/>
              <w:textAlignment w:val="center"/>
              <w:rPr>
                <w:rFonts w:hint="default" w:ascii="宋体" w:hAnsi="宋体" w:eastAsia="宋体" w:cs="宋体"/>
                <w:color w:val="000000"/>
                <w:sz w:val="24"/>
                <w:lang w:val="en-US" w:eastAsia="zh-CN"/>
              </w:rPr>
            </w:pPr>
            <w:r>
              <w:rPr>
                <w:rStyle w:val="43"/>
                <w:rFonts w:hint="eastAsia"/>
                <w:lang w:val="en-US" w:eastAsia="zh-CN"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5E3912DB">
            <w:pPr>
              <w:spacing w:line="460" w:lineRule="exact"/>
              <w:jc w:val="left"/>
              <w:rPr>
                <w:rFonts w:hint="eastAsia" w:ascii="宋体" w:hAnsi="宋体" w:cs="宋体"/>
                <w:sz w:val="24"/>
              </w:rPr>
            </w:pPr>
            <w:r>
              <w:rPr>
                <w:rFonts w:hint="eastAsia" w:ascii="宋体" w:hAnsi="宋体" w:cs="宋体"/>
                <w:sz w:val="24"/>
              </w:rPr>
              <w:t>N＝</w:t>
            </w:r>
            <w:r>
              <w:rPr>
                <w:rFonts w:hint="eastAsia" w:ascii="宋体" w:hAnsi="宋体" w:cs="宋体"/>
                <w:sz w:val="24"/>
                <w:lang w:val="en-US" w:eastAsia="zh-CN"/>
              </w:rPr>
              <w:t>20</w:t>
            </w:r>
            <w:r>
              <w:rPr>
                <w:rFonts w:hint="eastAsia" w:ascii="宋体" w:hAnsi="宋体" w:cs="宋体"/>
                <w:sz w:val="24"/>
              </w:rPr>
              <w:t>*所有投标中的有效最低投标报价/合格投标人的投标报价。说明：“N”表示报价得分；</w:t>
            </w:r>
          </w:p>
        </w:tc>
      </w:tr>
      <w:tr w14:paraId="17A86686">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4A1C22B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6D8FD07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5F4D134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51E8DBCF">
            <w:pPr>
              <w:widowControl/>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79355890">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57083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0AB4425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实施方案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576FE9B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54FA14B4">
            <w:pPr>
              <w:widowControl/>
              <w:textAlignment w:val="center"/>
              <w:rPr>
                <w:rFonts w:hint="eastAsia" w:ascii="宋体" w:hAnsi="宋体" w:cs="宋体"/>
                <w:color w:val="auto"/>
                <w:sz w:val="24"/>
              </w:rPr>
            </w:pPr>
            <w:r>
              <w:rPr>
                <w:rFonts w:ascii="宋体" w:hAnsi="宋体" w:eastAsia="宋体" w:cs="宋体"/>
                <w:b w:val="0"/>
                <w:color w:val="auto"/>
                <w:kern w:val="2"/>
                <w:sz w:val="24"/>
                <w:szCs w:val="22"/>
                <w:lang w:val="en-US" w:eastAsia="zh-CN" w:bidi="ar-SA"/>
              </w:rPr>
              <w:t>根据供应商提供的各阶段服务实施进度安排、工作流程、重点难点应对措施及特色服务等内容进行综合评审:
（1）内容科学合理有针对性的，得</w:t>
            </w:r>
            <w:r>
              <w:rPr>
                <w:rFonts w:hint="eastAsia" w:ascii="宋体" w:hAnsi="宋体" w:eastAsia="宋体" w:cs="宋体"/>
                <w:b w:val="0"/>
                <w:color w:val="auto"/>
                <w:kern w:val="2"/>
                <w:sz w:val="24"/>
                <w:szCs w:val="22"/>
                <w:lang w:val="en-US" w:eastAsia="zh-CN" w:bidi="ar-SA"/>
              </w:rPr>
              <w:t>14</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20</w:t>
            </w:r>
            <w:r>
              <w:rPr>
                <w:rFonts w:ascii="宋体" w:hAnsi="宋体" w:eastAsia="宋体" w:cs="宋体"/>
                <w:b w:val="0"/>
                <w:color w:val="auto"/>
                <w:kern w:val="2"/>
                <w:sz w:val="24"/>
                <w:szCs w:val="22"/>
                <w:lang w:val="en-US" w:eastAsia="zh-CN" w:bidi="ar-SA"/>
              </w:rPr>
              <w:t>分；
（2）内容较科学合理，针对性欠缺的，得</w:t>
            </w:r>
            <w:r>
              <w:rPr>
                <w:rFonts w:hint="eastAsia" w:ascii="宋体" w:hAnsi="宋体" w:eastAsia="宋体" w:cs="宋体"/>
                <w:b w:val="0"/>
                <w:color w:val="auto"/>
                <w:kern w:val="2"/>
                <w:sz w:val="24"/>
                <w:szCs w:val="22"/>
                <w:lang w:val="en-US" w:eastAsia="zh-CN" w:bidi="ar-SA"/>
              </w:rPr>
              <w:t>8</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14</w:t>
            </w:r>
            <w:r>
              <w:rPr>
                <w:rFonts w:ascii="宋体" w:hAnsi="宋体" w:eastAsia="宋体" w:cs="宋体"/>
                <w:b w:val="0"/>
                <w:color w:val="auto"/>
                <w:kern w:val="2"/>
                <w:sz w:val="24"/>
                <w:szCs w:val="22"/>
                <w:lang w:val="en-US" w:eastAsia="zh-CN" w:bidi="ar-SA"/>
              </w:rPr>
              <w:t>分；
（3）未提供或完全不满足需求，0-</w:t>
            </w:r>
            <w:r>
              <w:rPr>
                <w:rFonts w:hint="eastAsia" w:ascii="宋体" w:hAnsi="宋体" w:eastAsia="宋体" w:cs="宋体"/>
                <w:b w:val="0"/>
                <w:color w:val="auto"/>
                <w:kern w:val="2"/>
                <w:sz w:val="24"/>
                <w:szCs w:val="22"/>
                <w:lang w:val="en-US" w:eastAsia="zh-CN" w:bidi="ar-SA"/>
              </w:rPr>
              <w:t>7</w:t>
            </w:r>
            <w:r>
              <w:rPr>
                <w:rFonts w:ascii="宋体" w:hAnsi="宋体" w:eastAsia="宋体" w:cs="宋体"/>
                <w:b w:val="0"/>
                <w:color w:val="auto"/>
                <w:kern w:val="2"/>
                <w:sz w:val="24"/>
                <w:szCs w:val="22"/>
                <w:lang w:val="en-US" w:eastAsia="zh-CN" w:bidi="ar-SA"/>
              </w:rPr>
              <w:t>分。</w:t>
            </w:r>
          </w:p>
        </w:tc>
      </w:tr>
      <w:tr w14:paraId="6734E000">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B0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6DDF3361">
            <w:pPr>
              <w:widowControl/>
              <w:jc w:val="center"/>
              <w:textAlignment w:val="center"/>
              <w:rPr>
                <w:rFonts w:hint="default" w:ascii="宋体" w:hAnsi="宋体" w:cs="宋体"/>
                <w:color w:val="000000"/>
                <w:kern w:val="0"/>
                <w:sz w:val="24"/>
                <w:lang w:val="en-US" w:bidi="ar"/>
              </w:rPr>
            </w:pPr>
            <w:r>
              <w:rPr>
                <w:rFonts w:hint="eastAsia" w:ascii="宋体" w:hAnsi="宋体" w:cs="宋体"/>
                <w:b w:val="0"/>
                <w:color w:val="auto"/>
                <w:kern w:val="2"/>
                <w:sz w:val="24"/>
                <w:szCs w:val="22"/>
                <w:lang w:val="en-US" w:eastAsia="zh-CN" w:bidi="ar-SA"/>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1556B12C">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1C270ACC">
            <w:pPr>
              <w:widowControl/>
              <w:textAlignment w:val="center"/>
              <w:rPr>
                <w:rFonts w:hint="eastAsia" w:ascii="宋体" w:hAnsi="宋体" w:cs="宋体"/>
                <w:color w:val="auto"/>
                <w:spacing w:val="8"/>
                <w:kern w:val="0"/>
                <w:sz w:val="24"/>
              </w:rPr>
            </w:pPr>
            <w:r>
              <w:rPr>
                <w:rFonts w:ascii="宋体" w:hAnsi="宋体" w:eastAsia="宋体" w:cs="宋体"/>
                <w:b w:val="0"/>
                <w:color w:val="auto"/>
                <w:kern w:val="2"/>
                <w:sz w:val="24"/>
                <w:szCs w:val="22"/>
                <w:lang w:val="en-US" w:eastAsia="zh-CN" w:bidi="ar-SA"/>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eastAsia="宋体" w:cs="宋体"/>
                <w:b w:val="0"/>
                <w:color w:val="auto"/>
                <w:kern w:val="2"/>
                <w:sz w:val="24"/>
                <w:szCs w:val="22"/>
                <w:lang w:val="en-US" w:eastAsia="zh-CN" w:bidi="ar-SA"/>
              </w:rPr>
              <w:t>11</w:t>
            </w:r>
            <w:r>
              <w:rPr>
                <w:rFonts w:ascii="宋体" w:hAnsi="宋体" w:eastAsia="宋体" w:cs="宋体"/>
                <w:b w:val="0"/>
                <w:color w:val="auto"/>
                <w:kern w:val="2"/>
                <w:sz w:val="24"/>
                <w:szCs w:val="22"/>
                <w:lang w:val="en-US" w:eastAsia="zh-CN" w:bidi="ar-SA"/>
              </w:rPr>
              <w:t>-1</w:t>
            </w:r>
            <w:r>
              <w:rPr>
                <w:rFonts w:hint="eastAsia" w:ascii="宋体" w:hAnsi="宋体" w:eastAsia="宋体" w:cs="宋体"/>
                <w:b w:val="0"/>
                <w:color w:val="auto"/>
                <w:kern w:val="2"/>
                <w:sz w:val="24"/>
                <w:szCs w:val="22"/>
                <w:lang w:val="en-US" w:eastAsia="zh-CN" w:bidi="ar-SA"/>
              </w:rPr>
              <w:t>5</w:t>
            </w:r>
            <w:r>
              <w:rPr>
                <w:rFonts w:ascii="宋体" w:hAnsi="宋体" w:eastAsia="宋体" w:cs="宋体"/>
                <w:b w:val="0"/>
                <w:color w:val="auto"/>
                <w:kern w:val="2"/>
                <w:sz w:val="24"/>
                <w:szCs w:val="22"/>
                <w:lang w:val="en-US" w:eastAsia="zh-CN" w:bidi="ar-SA"/>
              </w:rPr>
              <w:t>分；
（2）人员较多、素质和专业水平一般、有一定同类项目经验的得</w:t>
            </w:r>
            <w:r>
              <w:rPr>
                <w:rFonts w:hint="eastAsia" w:ascii="宋体" w:hAnsi="宋体" w:eastAsia="宋体" w:cs="宋体"/>
                <w:b w:val="0"/>
                <w:color w:val="auto"/>
                <w:kern w:val="2"/>
                <w:sz w:val="24"/>
                <w:szCs w:val="22"/>
                <w:lang w:val="en-US" w:eastAsia="zh-CN" w:bidi="ar-SA"/>
              </w:rPr>
              <w:t>6</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10</w:t>
            </w:r>
            <w:r>
              <w:rPr>
                <w:rFonts w:ascii="宋体" w:hAnsi="宋体" w:eastAsia="宋体" w:cs="宋体"/>
                <w:b w:val="0"/>
                <w:color w:val="auto"/>
                <w:kern w:val="2"/>
                <w:sz w:val="24"/>
                <w:szCs w:val="22"/>
                <w:lang w:val="en-US" w:eastAsia="zh-CN" w:bidi="ar-SA"/>
              </w:rPr>
              <w:t>分；
（3）人员不够完整、素质和专业水平有所欠缺、同类项目经验较少的得0-</w:t>
            </w:r>
            <w:r>
              <w:rPr>
                <w:rFonts w:hint="eastAsia" w:ascii="宋体" w:hAnsi="宋体" w:eastAsia="宋体" w:cs="宋体"/>
                <w:b w:val="0"/>
                <w:color w:val="auto"/>
                <w:kern w:val="2"/>
                <w:sz w:val="24"/>
                <w:szCs w:val="22"/>
                <w:lang w:val="en-US" w:eastAsia="zh-CN" w:bidi="ar-SA"/>
              </w:rPr>
              <w:t>5</w:t>
            </w:r>
            <w:r>
              <w:rPr>
                <w:rFonts w:ascii="宋体" w:hAnsi="宋体" w:eastAsia="宋体" w:cs="宋体"/>
                <w:b w:val="0"/>
                <w:color w:val="auto"/>
                <w:kern w:val="2"/>
                <w:sz w:val="24"/>
                <w:szCs w:val="22"/>
                <w:lang w:val="en-US" w:eastAsia="zh-CN" w:bidi="ar-SA"/>
              </w:rPr>
              <w:t>分。</w:t>
            </w:r>
          </w:p>
        </w:tc>
      </w:tr>
      <w:tr w14:paraId="311B15DA">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156">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79DA4EB8">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售后服务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14FC05DD">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353F8B7F">
            <w:pPr>
              <w:widowControl/>
              <w:textAlignment w:val="center"/>
              <w:rPr>
                <w:rFonts w:ascii="宋体" w:hAnsi="宋体" w:eastAsia="宋体" w:cs="宋体"/>
                <w:b w:val="0"/>
                <w:color w:val="auto"/>
                <w:kern w:val="2"/>
                <w:sz w:val="24"/>
                <w:szCs w:val="22"/>
                <w:lang w:val="en-US" w:eastAsia="zh-CN" w:bidi="ar-SA"/>
              </w:rPr>
            </w:pPr>
            <w:r>
              <w:rPr>
                <w:rFonts w:hint="eastAsia" w:ascii="宋体" w:hAnsi="宋体" w:eastAsia="宋体" w:cs="宋体"/>
                <w:b w:val="0"/>
                <w:color w:val="auto"/>
                <w:kern w:val="2"/>
                <w:sz w:val="24"/>
                <w:szCs w:val="22"/>
                <w:lang w:val="en-US" w:eastAsia="zh-CN" w:bidi="ar-SA"/>
              </w:rPr>
              <w:t>根据投标人提供的售后服务方案、服务经验、技术支持和故障处理能力及时效性进行综合评审。（1）能够承诺保证有足够的人力、物力等资源保证按时按质按量完成委托的售后服务工作，提供优质服务，得7-10分；（2）基本能够保证按时按质按量完成委托的售后服务工作，得4-6分；3）不能保证按时按质按量完成委托的售后服务工作，得0-3分。</w:t>
            </w:r>
          </w:p>
        </w:tc>
      </w:tr>
      <w:tr w14:paraId="11E06101">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57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47B902F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172E2A6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267F169E">
            <w:pPr>
              <w:widowControl/>
              <w:textAlignment w:val="center"/>
              <w:rPr>
                <w:rFonts w:hint="eastAsia" w:ascii="宋体" w:hAnsi="宋体" w:cs="宋体"/>
                <w:color w:val="auto"/>
                <w:kern w:val="0"/>
                <w:sz w:val="24"/>
                <w:lang w:bidi="ar"/>
              </w:rPr>
            </w:pPr>
            <w:r>
              <w:rPr>
                <w:rFonts w:ascii="宋体" w:hAnsi="宋体" w:eastAsia="宋体" w:cs="宋体"/>
                <w:b w:val="0"/>
                <w:color w:val="auto"/>
                <w:kern w:val="2"/>
                <w:sz w:val="24"/>
                <w:szCs w:val="22"/>
                <w:lang w:val="en-US" w:eastAsia="zh-CN" w:bidi="ar-SA"/>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037A6CA9">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5D7A1BC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vAlign w:val="center"/>
          </w:tcPr>
          <w:p w14:paraId="31EA5E1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295F7E01">
            <w:pPr>
              <w:widowControl/>
              <w:jc w:val="center"/>
              <w:textAlignment w:val="center"/>
              <w:rPr>
                <w:rFonts w:hint="eastAsia" w:ascii="宋体" w:hAnsi="宋体" w:cs="宋体"/>
                <w:color w:val="000000"/>
                <w:sz w:val="24"/>
              </w:rPr>
            </w:pPr>
            <w:r>
              <w:rPr>
                <w:rStyle w:val="43"/>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441EF8EF">
            <w:pPr>
              <w:widowControl/>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78665913">
      <w:pPr>
        <w:pStyle w:val="22"/>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8"/>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8"/>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8"/>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8"/>
        <w:ind w:firstLine="360"/>
        <w:jc w:val="left"/>
        <w:rPr>
          <w:sz w:val="24"/>
          <w:szCs w:val="24"/>
        </w:rPr>
      </w:pPr>
      <w:r>
        <w:rPr>
          <w:rFonts w:hint="eastAsia"/>
          <w:sz w:val="24"/>
          <w:szCs w:val="24"/>
        </w:rPr>
        <w:t>（2）中选人不履行参选文件所作的承诺；</w:t>
      </w:r>
    </w:p>
    <w:p w14:paraId="1CA4310E">
      <w:pPr>
        <w:pStyle w:val="8"/>
        <w:ind w:firstLine="360"/>
        <w:jc w:val="left"/>
        <w:rPr>
          <w:sz w:val="24"/>
          <w:szCs w:val="24"/>
        </w:rPr>
      </w:pPr>
      <w:r>
        <w:rPr>
          <w:rFonts w:hint="eastAsia"/>
          <w:sz w:val="24"/>
          <w:szCs w:val="24"/>
        </w:rPr>
        <w:t>（3）中选人有违法行为；</w:t>
      </w:r>
    </w:p>
    <w:p w14:paraId="23BF1A67">
      <w:pPr>
        <w:pStyle w:val="8"/>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10"/>
        <w:rPr>
          <w:rFonts w:ascii="华文仿宋" w:hAnsi="华文仿宋" w:cs="华文仿宋"/>
        </w:rPr>
      </w:pPr>
    </w:p>
    <w:p w14:paraId="065741EC">
      <w:pPr>
        <w:pStyle w:val="10"/>
        <w:rPr>
          <w:rFonts w:ascii="华文仿宋" w:hAnsi="华文仿宋" w:cs="华文仿宋"/>
        </w:rPr>
      </w:pPr>
    </w:p>
    <w:p w14:paraId="5048D999">
      <w:pPr>
        <w:pStyle w:val="10"/>
        <w:rPr>
          <w:rFonts w:ascii="华文仿宋" w:hAnsi="华文仿宋" w:cs="华文仿宋"/>
        </w:rPr>
      </w:pPr>
    </w:p>
    <w:p w14:paraId="641B5B32">
      <w:pPr>
        <w:pStyle w:val="10"/>
        <w:rPr>
          <w:rFonts w:ascii="华文仿宋" w:hAnsi="华文仿宋" w:cs="华文仿宋"/>
        </w:rPr>
      </w:pPr>
    </w:p>
    <w:p w14:paraId="7EE079ED">
      <w:pPr>
        <w:pStyle w:val="10"/>
        <w:rPr>
          <w:rFonts w:ascii="华文仿宋" w:hAnsi="华文仿宋" w:cs="华文仿宋"/>
        </w:rPr>
      </w:pPr>
    </w:p>
    <w:p w14:paraId="660A429F">
      <w:pPr>
        <w:pStyle w:val="10"/>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2"/>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ascii="宋体" w:hAnsi="宋体" w:cs="宋体"/>
          <w:b/>
          <w:sz w:val="24"/>
        </w:rPr>
      </w:pPr>
      <w:r>
        <w:rPr>
          <w:rFonts w:hint="eastAsia" w:ascii="宋体" w:hAnsi="宋体" w:cs="宋体"/>
          <w:b/>
          <w:sz w:val="24"/>
        </w:rPr>
        <w:t>项目概述：</w:t>
      </w:r>
    </w:p>
    <w:p w14:paraId="2F64D3C0">
      <w:pPr>
        <w:tabs>
          <w:tab w:val="left" w:pos="993"/>
          <w:tab w:val="left" w:pos="1620"/>
        </w:tabs>
        <w:snapToGrid w:val="0"/>
        <w:spacing w:line="360" w:lineRule="auto"/>
        <w:rPr>
          <w:rFonts w:ascii="宋体" w:hAnsi="宋体" w:cs="Arial"/>
          <w:sz w:val="24"/>
        </w:rPr>
      </w:pPr>
      <w:r>
        <w:rPr>
          <w:rFonts w:hint="eastAsia" w:ascii="宋体" w:hAnsi="宋体" w:cs="Arial"/>
          <w:sz w:val="24"/>
        </w:rPr>
        <w:t>1、项目名称：上海市儿童医院电子认证服务系统维保服务项目</w:t>
      </w:r>
    </w:p>
    <w:p w14:paraId="72912EBE">
      <w:pPr>
        <w:tabs>
          <w:tab w:val="left" w:pos="993"/>
          <w:tab w:val="left" w:pos="1620"/>
        </w:tabs>
        <w:snapToGrid w:val="0"/>
        <w:spacing w:line="360" w:lineRule="auto"/>
        <w:rPr>
          <w:rFonts w:ascii="宋体" w:hAnsi="宋体" w:cs="Arial"/>
          <w:sz w:val="24"/>
        </w:rPr>
      </w:pPr>
      <w:r>
        <w:rPr>
          <w:rFonts w:hint="eastAsia" w:ascii="宋体" w:hAnsi="宋体" w:cs="Arial"/>
          <w:sz w:val="24"/>
        </w:rPr>
        <w:t>2、</w:t>
      </w:r>
      <w:r>
        <w:rPr>
          <w:rFonts w:hint="eastAsia" w:ascii="宋体" w:hAnsi="宋体" w:cs="Arial"/>
          <w:sz w:val="24"/>
          <w:lang w:val="en-US" w:eastAsia="zh-CN"/>
        </w:rPr>
        <w:t>服务</w:t>
      </w:r>
      <w:r>
        <w:rPr>
          <w:rFonts w:hint="eastAsia" w:ascii="宋体" w:hAnsi="宋体" w:cs="Arial"/>
          <w:sz w:val="24"/>
        </w:rPr>
        <w:t>地点：上海市儿童医院</w:t>
      </w:r>
    </w:p>
    <w:p w14:paraId="0ADD6DDF">
      <w:pPr>
        <w:tabs>
          <w:tab w:val="left" w:pos="993"/>
          <w:tab w:val="left" w:pos="1620"/>
        </w:tabs>
        <w:snapToGrid w:val="0"/>
        <w:spacing w:line="360" w:lineRule="auto"/>
        <w:rPr>
          <w:rFonts w:ascii="宋体" w:hAnsi="宋体" w:cs="Arial"/>
          <w:sz w:val="24"/>
        </w:rPr>
      </w:pPr>
      <w:r>
        <w:rPr>
          <w:rFonts w:hint="eastAsia" w:ascii="宋体" w:hAnsi="宋体" w:cs="Arial"/>
          <w:sz w:val="24"/>
        </w:rPr>
        <w:t>3、</w:t>
      </w:r>
      <w:r>
        <w:rPr>
          <w:rFonts w:hint="eastAsia" w:ascii="宋体" w:hAnsi="宋体" w:cs="Arial"/>
          <w:sz w:val="24"/>
          <w:lang w:val="en-US" w:eastAsia="zh-CN"/>
        </w:rPr>
        <w:t>服务</w:t>
      </w:r>
      <w:r>
        <w:rPr>
          <w:rFonts w:hint="eastAsia" w:ascii="宋体" w:hAnsi="宋体" w:cs="Arial"/>
          <w:sz w:val="24"/>
        </w:rPr>
        <w:t>周期：合同签订后</w:t>
      </w:r>
      <w:r>
        <w:rPr>
          <w:rFonts w:hint="eastAsia" w:ascii="宋体" w:hAnsi="宋体" w:cs="Arial"/>
          <w:sz w:val="24"/>
          <w:lang w:val="en-US" w:eastAsia="zh-CN"/>
        </w:rPr>
        <w:t>1年</w:t>
      </w:r>
      <w:r>
        <w:rPr>
          <w:rFonts w:hint="eastAsia" w:ascii="宋体" w:hAnsi="宋体" w:cs="Arial"/>
          <w:sz w:val="24"/>
        </w:rPr>
        <w:t>。</w:t>
      </w:r>
    </w:p>
    <w:p w14:paraId="2E945CCA">
      <w:pPr>
        <w:tabs>
          <w:tab w:val="left" w:pos="993"/>
          <w:tab w:val="left" w:pos="1620"/>
        </w:tabs>
        <w:snapToGrid w:val="0"/>
        <w:spacing w:line="360" w:lineRule="auto"/>
        <w:rPr>
          <w:rFonts w:ascii="宋体" w:hAnsi="宋体" w:cs="宋体"/>
          <w:shd w:val="clear" w:color="auto" w:fill="FFFFFF"/>
        </w:rPr>
      </w:pPr>
      <w:r>
        <w:rPr>
          <w:rFonts w:hint="eastAsia" w:ascii="宋体" w:hAnsi="宋体" w:cs="宋体"/>
          <w:kern w:val="0"/>
          <w:sz w:val="24"/>
          <w:shd w:val="clear" w:color="auto" w:fill="FFFFFF"/>
        </w:rPr>
        <w:t>4、付款方式：</w:t>
      </w:r>
      <w:r>
        <w:rPr>
          <w:rFonts w:hint="eastAsia" w:ascii="宋体" w:hAnsi="宋体" w:cs="Arial"/>
          <w:sz w:val="24"/>
        </w:rPr>
        <w:t>本项目合同签订</w:t>
      </w:r>
      <w:r>
        <w:rPr>
          <w:rFonts w:ascii="宋体" w:hAnsi="宋体" w:eastAsia="宋体" w:cs="宋体"/>
          <w:b w:val="0"/>
          <w:color w:val="auto"/>
          <w:kern w:val="2"/>
          <w:sz w:val="24"/>
          <w:szCs w:val="22"/>
          <w:lang w:val="en-US" w:eastAsia="zh-CN" w:bidi="ar-SA"/>
        </w:rPr>
        <w:t>且服务期开始后</w:t>
      </w:r>
      <w:r>
        <w:rPr>
          <w:rFonts w:hint="eastAsia" w:ascii="宋体" w:hAnsi="宋体" w:cs="Arial"/>
          <w:sz w:val="24"/>
        </w:rPr>
        <w:t>，</w:t>
      </w:r>
      <w:r>
        <w:rPr>
          <w:rFonts w:ascii="宋体" w:hAnsi="宋体" w:eastAsia="宋体" w:cs="宋体"/>
          <w:b w:val="0"/>
          <w:color w:val="auto"/>
          <w:kern w:val="2"/>
          <w:sz w:val="24"/>
          <w:szCs w:val="22"/>
          <w:lang w:val="en-US" w:eastAsia="zh-CN" w:bidi="ar-SA"/>
        </w:rPr>
        <w:t>甲方收到乙方开具的发票，甲方向乙方支付当年费用的50％</w:t>
      </w:r>
      <w:r>
        <w:rPr>
          <w:rFonts w:hint="eastAsia" w:ascii="宋体" w:hAnsi="宋体" w:cs="Arial"/>
          <w:sz w:val="24"/>
        </w:rPr>
        <w:t>；</w:t>
      </w:r>
      <w:r>
        <w:rPr>
          <w:rFonts w:ascii="宋体" w:hAnsi="宋体" w:eastAsia="宋体" w:cs="宋体"/>
          <w:b w:val="0"/>
          <w:color w:val="auto"/>
          <w:kern w:val="2"/>
          <w:sz w:val="24"/>
          <w:szCs w:val="22"/>
          <w:lang w:val="en-US" w:eastAsia="zh-CN" w:bidi="ar-SA"/>
        </w:rPr>
        <w:t>项目服务期满，经甲方验收后的30个工作日内，甲方收到乙方开具的发票，甲方向乙方支付当年费用剩余的50％。</w:t>
      </w:r>
    </w:p>
    <w:p w14:paraId="4DEB5C09">
      <w:pPr>
        <w:pStyle w:val="34"/>
        <w:spacing w:line="360" w:lineRule="auto"/>
        <w:ind w:firstLine="0" w:firstLineChars="0"/>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二、维保服务概况</w:t>
      </w:r>
    </w:p>
    <w:p w14:paraId="55C95E62">
      <w:pPr>
        <w:pStyle w:val="3"/>
        <w:ind w:firstLine="410"/>
        <w:rPr>
          <w:rFonts w:hint="eastAsia"/>
        </w:rPr>
      </w:pPr>
      <w:r>
        <w:rPr>
          <w:rFonts w:hint="eastAsia"/>
        </w:rPr>
        <w:t>上海市儿童医院为满足信息系统对于用户身份真实性鉴别、数据完整性保护、业务抗抵赖、权威举证、隐私保护、以及全院无纸化等需求，于201</w:t>
      </w:r>
      <w:r>
        <w:t>9</w:t>
      </w:r>
      <w:r>
        <w:rPr>
          <w:rFonts w:hint="eastAsia"/>
        </w:rPr>
        <w:t>年部署实施了以PKI/CA电子认证服务系统（C</w:t>
      </w:r>
      <w:r>
        <w:t>A</w:t>
      </w:r>
      <w:r>
        <w:rPr>
          <w:rFonts w:hint="eastAsia"/>
        </w:rPr>
        <w:t>认证系统），现就电子认证服务系统已部署产品维保服务进行采购，采购维保服务的清单如下：</w:t>
      </w:r>
    </w:p>
    <w:tbl>
      <w:tblPr>
        <w:tblStyle w:val="23"/>
        <w:tblW w:w="10070" w:type="dxa"/>
        <w:jc w:val="center"/>
        <w:tblLayout w:type="autofit"/>
        <w:tblCellMar>
          <w:top w:w="0" w:type="dxa"/>
          <w:left w:w="108" w:type="dxa"/>
          <w:bottom w:w="0" w:type="dxa"/>
          <w:right w:w="108" w:type="dxa"/>
        </w:tblCellMar>
      </w:tblPr>
      <w:tblGrid>
        <w:gridCol w:w="600"/>
        <w:gridCol w:w="2380"/>
        <w:gridCol w:w="1216"/>
        <w:gridCol w:w="960"/>
        <w:gridCol w:w="4914"/>
      </w:tblGrid>
      <w:tr w14:paraId="68BEAC62">
        <w:tblPrEx>
          <w:tblCellMar>
            <w:top w:w="0" w:type="dxa"/>
            <w:left w:w="108" w:type="dxa"/>
            <w:bottom w:w="0" w:type="dxa"/>
            <w:right w:w="108" w:type="dxa"/>
          </w:tblCellMar>
        </w:tblPrEx>
        <w:trPr>
          <w:trHeight w:val="560" w:hRule="atLeast"/>
          <w:jc w:val="center"/>
        </w:trPr>
        <w:tc>
          <w:tcPr>
            <w:tcW w:w="10070" w:type="dxa"/>
            <w:gridSpan w:val="5"/>
            <w:tcBorders>
              <w:top w:val="single" w:color="000000" w:sz="4" w:space="0"/>
              <w:left w:val="single" w:color="000000" w:sz="4" w:space="0"/>
              <w:bottom w:val="single" w:color="000000" w:sz="4" w:space="0"/>
              <w:right w:val="single" w:color="000000" w:sz="4" w:space="0"/>
            </w:tcBorders>
            <w:noWrap/>
            <w:vAlign w:val="center"/>
          </w:tcPr>
          <w:p w14:paraId="3A86BFDE">
            <w:pPr>
              <w:widowControl/>
              <w:jc w:val="center"/>
              <w:rPr>
                <w:rFonts w:ascii="等线" w:hAnsi="等线" w:eastAsia="等线" w:cs="宋体"/>
                <w:b/>
                <w:bCs/>
                <w:color w:val="000000"/>
                <w:kern w:val="0"/>
                <w:sz w:val="28"/>
                <w:szCs w:val="28"/>
              </w:rPr>
            </w:pPr>
            <w:r>
              <w:rPr>
                <w:rFonts w:hint="eastAsia" w:ascii="等线" w:hAnsi="等线" w:eastAsia="等线" w:cs="宋体"/>
                <w:b/>
                <w:bCs/>
                <w:color w:val="000000"/>
                <w:kern w:val="0"/>
                <w:sz w:val="28"/>
                <w:szCs w:val="28"/>
              </w:rPr>
              <w:t>上海市儿童医院CA认证维保服务清单</w:t>
            </w:r>
          </w:p>
        </w:tc>
      </w:tr>
      <w:tr w14:paraId="73F0E834">
        <w:tblPrEx>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D5C92">
            <w:pPr>
              <w:widowControl/>
              <w:jc w:val="center"/>
              <w:rPr>
                <w:rFonts w:hint="eastAsia" w:ascii="黑体" w:hAnsi="黑体" w:eastAsia="黑体" w:cs="宋体"/>
                <w:b/>
                <w:bCs/>
                <w:color w:val="000000"/>
                <w:kern w:val="0"/>
                <w:sz w:val="20"/>
                <w:szCs w:val="20"/>
              </w:rPr>
            </w:pPr>
            <w:r>
              <w:rPr>
                <w:rFonts w:hint="eastAsia" w:ascii="黑体" w:hAnsi="黑体" w:eastAsia="黑体" w:cs="宋体"/>
                <w:b/>
                <w:bCs/>
                <w:color w:val="000000"/>
                <w:kern w:val="0"/>
                <w:sz w:val="20"/>
                <w:szCs w:val="20"/>
              </w:rPr>
              <w:t>序号</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2F79A">
            <w:pPr>
              <w:widowControl/>
              <w:jc w:val="center"/>
              <w:rPr>
                <w:rFonts w:hint="eastAsia" w:ascii="黑体" w:hAnsi="黑体" w:eastAsia="黑体" w:cs="宋体"/>
                <w:b/>
                <w:bCs/>
                <w:color w:val="000000"/>
                <w:kern w:val="0"/>
                <w:sz w:val="20"/>
                <w:szCs w:val="20"/>
              </w:rPr>
            </w:pPr>
            <w:r>
              <w:rPr>
                <w:rFonts w:hint="eastAsia" w:ascii="黑体" w:hAnsi="黑体" w:eastAsia="黑体" w:cs="宋体"/>
                <w:b/>
                <w:bCs/>
                <w:color w:val="000000"/>
                <w:kern w:val="0"/>
                <w:sz w:val="20"/>
                <w:szCs w:val="20"/>
              </w:rPr>
              <w:t>维保服务产品名称</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A0BCC">
            <w:pPr>
              <w:widowControl/>
              <w:jc w:val="center"/>
              <w:rPr>
                <w:rFonts w:hint="eastAsia" w:ascii="黑体" w:hAnsi="黑体" w:eastAsia="黑体" w:cs="宋体"/>
                <w:b/>
                <w:bCs/>
                <w:color w:val="000000"/>
                <w:kern w:val="0"/>
                <w:sz w:val="20"/>
                <w:szCs w:val="20"/>
              </w:rPr>
            </w:pPr>
            <w:r>
              <w:rPr>
                <w:rFonts w:hint="eastAsia" w:ascii="黑体" w:hAnsi="黑体" w:eastAsia="黑体" w:cs="宋体"/>
                <w:b/>
                <w:bCs/>
                <w:color w:val="000000"/>
                <w:kern w:val="0"/>
                <w:sz w:val="20"/>
                <w:szCs w:val="20"/>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FF841">
            <w:pPr>
              <w:widowControl/>
              <w:jc w:val="center"/>
              <w:rPr>
                <w:rFonts w:hint="eastAsia" w:ascii="黑体" w:hAnsi="黑体" w:eastAsia="黑体" w:cs="宋体"/>
                <w:b/>
                <w:bCs/>
                <w:color w:val="000000"/>
                <w:kern w:val="0"/>
                <w:sz w:val="20"/>
                <w:szCs w:val="20"/>
              </w:rPr>
            </w:pPr>
            <w:r>
              <w:rPr>
                <w:rFonts w:hint="eastAsia" w:ascii="黑体" w:hAnsi="黑体" w:eastAsia="黑体" w:cs="宋体"/>
                <w:b/>
                <w:bCs/>
                <w:color w:val="000000"/>
                <w:kern w:val="0"/>
                <w:sz w:val="20"/>
                <w:szCs w:val="20"/>
              </w:rPr>
              <w:t>数量</w:t>
            </w:r>
          </w:p>
        </w:tc>
        <w:tc>
          <w:tcPr>
            <w:tcW w:w="49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7697E">
            <w:pPr>
              <w:widowControl/>
              <w:jc w:val="center"/>
              <w:rPr>
                <w:rFonts w:hint="eastAsia" w:ascii="黑体" w:hAnsi="黑体" w:eastAsia="黑体" w:cs="宋体"/>
                <w:b/>
                <w:bCs/>
                <w:color w:val="000000"/>
                <w:kern w:val="0"/>
                <w:sz w:val="20"/>
                <w:szCs w:val="20"/>
              </w:rPr>
            </w:pPr>
            <w:r>
              <w:rPr>
                <w:rFonts w:hint="eastAsia" w:ascii="黑体" w:hAnsi="黑体" w:eastAsia="黑体" w:cs="宋体"/>
                <w:b/>
                <w:bCs/>
                <w:color w:val="000000"/>
                <w:kern w:val="0"/>
                <w:sz w:val="20"/>
                <w:szCs w:val="20"/>
              </w:rPr>
              <w:t>产品描述</w:t>
            </w:r>
          </w:p>
        </w:tc>
      </w:tr>
      <w:tr w14:paraId="3862FD20">
        <w:tblPrEx>
          <w:tblCellMar>
            <w:top w:w="0" w:type="dxa"/>
            <w:left w:w="108" w:type="dxa"/>
            <w:bottom w:w="0" w:type="dxa"/>
            <w:right w:w="108" w:type="dxa"/>
          </w:tblCellMar>
        </w:tblPrEx>
        <w:trPr>
          <w:trHeight w:val="130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11C1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53C5A57">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电子认证服务器</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AD0810B">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Unitrust DIS-500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946BA8">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2台</w:t>
            </w:r>
          </w:p>
        </w:tc>
        <w:tc>
          <w:tcPr>
            <w:tcW w:w="4914" w:type="dxa"/>
            <w:tcBorders>
              <w:top w:val="single" w:color="000000" w:sz="4" w:space="0"/>
              <w:left w:val="single" w:color="000000" w:sz="4" w:space="0"/>
              <w:bottom w:val="single" w:color="000000" w:sz="4" w:space="0"/>
              <w:right w:val="single" w:color="000000" w:sz="4" w:space="0"/>
            </w:tcBorders>
            <w:noWrap w:val="0"/>
            <w:vAlign w:val="center"/>
          </w:tcPr>
          <w:p w14:paraId="6C7B3A45">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软硬件一体设备产品，含加密卡、部署在医院信息中心，为医院信息系统提供数字签名&amp;签名验签、数据加解密以及通用密码服务功能，通过GPS卫星或CDMA网络对接国家标准时间源为医院信息系统提供可信时间戳签名/验签服务功能。</w:t>
            </w:r>
          </w:p>
        </w:tc>
      </w:tr>
      <w:tr w14:paraId="51737E11">
        <w:tblPrEx>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EFE6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0A4F59CA">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证书管理服务器</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9825BAC">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Unitrust RAG-500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F79C21">
            <w:pPr>
              <w:widowControl/>
              <w:jc w:val="center"/>
              <w:rPr>
                <w:rFonts w:hint="eastAsia" w:eastAsia="等线" w:cs="Arial"/>
                <w:color w:val="000000"/>
                <w:kern w:val="0"/>
                <w:sz w:val="20"/>
                <w:szCs w:val="20"/>
              </w:rPr>
            </w:pPr>
            <w:r>
              <w:rPr>
                <w:rFonts w:eastAsia="等线" w:cs="Arial"/>
                <w:color w:val="000000"/>
                <w:kern w:val="0"/>
                <w:sz w:val="20"/>
                <w:szCs w:val="20"/>
              </w:rPr>
              <w:t>1</w:t>
            </w:r>
            <w:r>
              <w:rPr>
                <w:rFonts w:ascii="宋体" w:hAnsi="宋体" w:cs="Arial"/>
                <w:color w:val="000000"/>
                <w:kern w:val="0"/>
                <w:sz w:val="20"/>
                <w:szCs w:val="20"/>
              </w:rPr>
              <w:t>台</w:t>
            </w:r>
          </w:p>
        </w:tc>
        <w:tc>
          <w:tcPr>
            <w:tcW w:w="4914" w:type="dxa"/>
            <w:tcBorders>
              <w:top w:val="single" w:color="000000" w:sz="4" w:space="0"/>
              <w:left w:val="single" w:color="000000" w:sz="4" w:space="0"/>
              <w:bottom w:val="single" w:color="000000" w:sz="4" w:space="0"/>
              <w:right w:val="single" w:color="000000" w:sz="4" w:space="0"/>
            </w:tcBorders>
            <w:noWrap w:val="0"/>
            <w:vAlign w:val="center"/>
          </w:tcPr>
          <w:p w14:paraId="28C5D411">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软硬一体设备产品，部署在医院信息中心机房，房通过政务外网连接上海市市级电子认证服务平台实现本地化的数字证书申请、审核、制作发放和管理，实现数字证书自动更新功能。</w:t>
            </w:r>
          </w:p>
        </w:tc>
      </w:tr>
      <w:tr w14:paraId="146F66F5">
        <w:tblPrEx>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A9E3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12D189F">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手写签名验证服务器</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8A5F21A">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Unitrust DIDMS-500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33C1A">
            <w:pPr>
              <w:widowControl/>
              <w:jc w:val="center"/>
              <w:rPr>
                <w:rFonts w:hint="eastAsia" w:eastAsia="等线" w:cs="Arial"/>
                <w:color w:val="000000"/>
                <w:kern w:val="0"/>
                <w:sz w:val="20"/>
                <w:szCs w:val="20"/>
              </w:rPr>
            </w:pPr>
            <w:r>
              <w:rPr>
                <w:rFonts w:eastAsia="等线" w:cs="Arial"/>
                <w:color w:val="000000"/>
                <w:kern w:val="0"/>
                <w:sz w:val="20"/>
                <w:szCs w:val="20"/>
              </w:rPr>
              <w:t>1</w:t>
            </w:r>
            <w:r>
              <w:rPr>
                <w:rFonts w:ascii="宋体" w:hAnsi="宋体" w:cs="Arial"/>
                <w:color w:val="000000"/>
                <w:kern w:val="0"/>
                <w:sz w:val="20"/>
                <w:szCs w:val="20"/>
              </w:rPr>
              <w:t>台</w:t>
            </w:r>
          </w:p>
        </w:tc>
        <w:tc>
          <w:tcPr>
            <w:tcW w:w="4914" w:type="dxa"/>
            <w:tcBorders>
              <w:top w:val="single" w:color="000000" w:sz="4" w:space="0"/>
              <w:left w:val="single" w:color="000000" w:sz="4" w:space="0"/>
              <w:bottom w:val="single" w:color="000000" w:sz="4" w:space="0"/>
              <w:right w:val="single" w:color="000000" w:sz="4" w:space="0"/>
            </w:tcBorders>
            <w:noWrap w:val="0"/>
            <w:vAlign w:val="center"/>
          </w:tcPr>
          <w:p w14:paraId="0BDDC329">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软硬件一体设备产品，部署在医院信息中心，可实现患者签名笔迹、指纹、图像证据链采集来确定患者身份后利用证据特征值通，过手写签名服务器请求生成手写签名事件性证书进行无纸化电子签名及验证服务。</w:t>
            </w:r>
          </w:p>
        </w:tc>
      </w:tr>
      <w:tr w14:paraId="42175861">
        <w:tblPrEx>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93E22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65F99AE">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多功能液晶手写屏</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726A910">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KS-01A</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DA8B94">
            <w:pPr>
              <w:widowControl/>
              <w:jc w:val="center"/>
              <w:rPr>
                <w:rFonts w:eastAsia="等线" w:cs="Arial"/>
                <w:color w:val="000000"/>
                <w:kern w:val="0"/>
                <w:sz w:val="20"/>
                <w:szCs w:val="20"/>
              </w:rPr>
            </w:pPr>
            <w:r>
              <w:rPr>
                <w:rFonts w:hint="eastAsia" w:eastAsia="等线" w:cs="Arial"/>
                <w:color w:val="000000"/>
                <w:kern w:val="0"/>
                <w:sz w:val="20"/>
                <w:szCs w:val="20"/>
              </w:rPr>
              <w:t>60台</w:t>
            </w:r>
          </w:p>
        </w:tc>
        <w:tc>
          <w:tcPr>
            <w:tcW w:w="4914" w:type="dxa"/>
            <w:tcBorders>
              <w:top w:val="single" w:color="000000" w:sz="4" w:space="0"/>
              <w:left w:val="single" w:color="000000" w:sz="4" w:space="0"/>
              <w:bottom w:val="single" w:color="000000" w:sz="4" w:space="0"/>
              <w:right w:val="single" w:color="000000" w:sz="4" w:space="0"/>
            </w:tcBorders>
            <w:noWrap w:val="0"/>
            <w:vAlign w:val="center"/>
          </w:tcPr>
          <w:p w14:paraId="30866B42">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采集用户手写笔记、指纹、影像证据链信息，10.1寸屏。</w:t>
            </w:r>
          </w:p>
        </w:tc>
      </w:tr>
      <w:tr w14:paraId="04087EFB">
        <w:tblPrEx>
          <w:tblCellMar>
            <w:top w:w="0" w:type="dxa"/>
            <w:left w:w="108" w:type="dxa"/>
            <w:bottom w:w="0" w:type="dxa"/>
            <w:right w:w="108" w:type="dxa"/>
          </w:tblCellMar>
        </w:tblPrEx>
        <w:trPr>
          <w:trHeight w:val="10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57214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2A33BFA">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个人身份数字证书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88C0554">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SHECA-移动证书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0CB9B8">
            <w:pPr>
              <w:widowControl/>
              <w:jc w:val="center"/>
              <w:rPr>
                <w:rFonts w:eastAsia="等线" w:cs="Arial"/>
                <w:color w:val="000000"/>
                <w:kern w:val="0"/>
                <w:sz w:val="20"/>
                <w:szCs w:val="20"/>
              </w:rPr>
            </w:pPr>
            <w:r>
              <w:rPr>
                <w:rFonts w:hint="eastAsia" w:eastAsia="等线" w:cs="Arial"/>
                <w:color w:val="000000"/>
                <w:kern w:val="0"/>
                <w:sz w:val="20"/>
                <w:szCs w:val="20"/>
              </w:rPr>
              <w:t>2000张</w:t>
            </w:r>
          </w:p>
        </w:tc>
        <w:tc>
          <w:tcPr>
            <w:tcW w:w="4914" w:type="dxa"/>
            <w:tcBorders>
              <w:top w:val="single" w:color="000000" w:sz="4" w:space="0"/>
              <w:left w:val="single" w:color="000000" w:sz="4" w:space="0"/>
              <w:bottom w:val="single" w:color="000000" w:sz="4" w:space="0"/>
              <w:right w:val="single" w:color="000000" w:sz="4" w:space="0"/>
            </w:tcBorders>
            <w:noWrap w:val="0"/>
            <w:vAlign w:val="center"/>
          </w:tcPr>
          <w:p w14:paraId="74597659">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通过密钥分割算法将用户私钥分量分布存储各个节点，标识医护人员/医院工作人员网络实体身份，单价含1年证书服务费。</w:t>
            </w:r>
          </w:p>
        </w:tc>
      </w:tr>
    </w:tbl>
    <w:p w14:paraId="4C8DBCCD">
      <w:pPr>
        <w:pStyle w:val="3"/>
        <w:ind w:firstLine="410"/>
        <w:rPr>
          <w:rFonts w:hint="eastAsia"/>
        </w:rPr>
      </w:pPr>
    </w:p>
    <w:p w14:paraId="5136912D">
      <w:pPr>
        <w:pStyle w:val="34"/>
        <w:numPr>
          <w:ilvl w:val="0"/>
          <w:numId w:val="0"/>
        </w:numPr>
        <w:spacing w:line="360" w:lineRule="auto"/>
        <w:ind w:leftChars="0"/>
        <w:rPr>
          <w:rFonts w:hint="eastAsia" w:ascii="宋体" w:hAnsi="宋体" w:cs="宋体"/>
          <w:b/>
          <w:bCs/>
          <w:kern w:val="0"/>
          <w:sz w:val="24"/>
        </w:rPr>
      </w:pPr>
      <w:r>
        <w:rPr>
          <w:rFonts w:hint="eastAsia" w:ascii="宋体" w:hAnsi="宋体" w:cs="宋体"/>
          <w:b/>
          <w:bCs/>
          <w:kern w:val="0"/>
          <w:sz w:val="24"/>
          <w:lang w:val="en-US" w:eastAsia="zh-CN"/>
        </w:rPr>
        <w:t>三、</w:t>
      </w:r>
      <w:r>
        <w:rPr>
          <w:rFonts w:hint="eastAsia" w:ascii="宋体" w:hAnsi="宋体" w:cs="宋体"/>
          <w:b/>
          <w:bCs/>
          <w:kern w:val="0"/>
          <w:sz w:val="24"/>
        </w:rPr>
        <w:t>维保服务要求</w:t>
      </w:r>
    </w:p>
    <w:p w14:paraId="69F3F9FE">
      <w:pPr>
        <w:pStyle w:val="34"/>
        <w:numPr>
          <w:ilvl w:val="0"/>
          <w:numId w:val="0"/>
        </w:numPr>
        <w:spacing w:line="360" w:lineRule="auto"/>
        <w:ind w:leftChars="0"/>
        <w:rPr>
          <w:rFonts w:hint="eastAsia" w:ascii="宋体" w:hAnsi="宋体" w:cs="宋体"/>
          <w:b w:val="0"/>
          <w:bCs w:val="0"/>
          <w:kern w:val="0"/>
          <w:sz w:val="24"/>
        </w:rPr>
      </w:pPr>
      <w:r>
        <w:rPr>
          <w:rFonts w:hint="eastAsia" w:ascii="宋体" w:hAnsi="宋体" w:cs="宋体"/>
          <w:b w:val="0"/>
          <w:bCs w:val="0"/>
          <w:kern w:val="0"/>
          <w:sz w:val="24"/>
        </w:rPr>
        <w:t>具体服务要求如下：</w:t>
      </w:r>
    </w:p>
    <w:p w14:paraId="4A42EB76">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指定至少1名售后技术工程师，1名资深研发工程师长期为医院提供技术支持服务，充分确保项目成功实施的各种项目资源协调，维保期内派专职专业工程师负责服务跟踪，每月对系统巡检一次，保证系统在最优化的状态下稳定运行。</w:t>
      </w:r>
    </w:p>
    <w:p w14:paraId="6FC8417B">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维保期内出现影响用户业务的故障时，根据故障等级，提出相应的故障解决方案；</w:t>
      </w:r>
    </w:p>
    <w:p w14:paraId="3BEC0446">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维保期内提供所列产品备机备件服务，出现故障判断8小时内无法解决的提供免费备机服务。</w:t>
      </w:r>
    </w:p>
    <w:p w14:paraId="3E33482C">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维保期内对应用软件提供免费升级服务、免费提供安装部署、初始化配置系统服务；保证维保期内，院方新增应用系统时，提供免费软件对接等技术服务；</w:t>
      </w:r>
    </w:p>
    <w:p w14:paraId="62B9007E">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根据院方实际工作需要进行修改并满足工作要求，并维护期内，保证维保范围内功能模块满足客户化需求。</w:t>
      </w:r>
    </w:p>
    <w:p w14:paraId="090FB6A9">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保证免费按时完成因政策调整、业务管理模式改变等而进行业务应用系统的升级和维护；</w:t>
      </w:r>
    </w:p>
    <w:p w14:paraId="2807988C">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提供7*24小时电话、网络技术支持服务，遇到系统故障15分钟内响应，能够2小时内电话解决，需要到达现场服务的从最近网点指派工程师以最快交通工具到达现场处理故障；</w:t>
      </w:r>
    </w:p>
    <w:p w14:paraId="402AA79C">
      <w:pPr>
        <w:pStyle w:val="34"/>
        <w:numPr>
          <w:ilvl w:val="0"/>
          <w:numId w:val="9"/>
        </w:numPr>
        <w:spacing w:line="360" w:lineRule="auto"/>
        <w:ind w:left="425" w:leftChars="0" w:hanging="425" w:firstLineChars="0"/>
        <w:rPr>
          <w:rFonts w:hint="eastAsia" w:ascii="宋体" w:hAnsi="宋体" w:cs="宋体"/>
          <w:b w:val="0"/>
          <w:bCs w:val="0"/>
          <w:kern w:val="0"/>
          <w:sz w:val="24"/>
        </w:rPr>
      </w:pPr>
      <w:r>
        <w:rPr>
          <w:rFonts w:hint="eastAsia" w:ascii="宋体" w:hAnsi="宋体" w:cs="宋体"/>
          <w:b w:val="0"/>
          <w:bCs w:val="0"/>
          <w:kern w:val="0"/>
          <w:sz w:val="24"/>
        </w:rPr>
        <w:t>如医院遇系统调整、机房搬迁、重大活动等需要现场保障的，院方提前3个工作日通知能派技术工程师前往现场保障，直至保障任务结束。</w:t>
      </w:r>
    </w:p>
    <w:p w14:paraId="4901B932">
      <w:pPr>
        <w:pStyle w:val="34"/>
        <w:numPr>
          <w:ilvl w:val="0"/>
          <w:numId w:val="0"/>
        </w:numPr>
        <w:spacing w:line="360" w:lineRule="auto"/>
        <w:ind w:leftChars="0"/>
        <w:rPr>
          <w:rFonts w:hint="eastAsia" w:ascii="宋体" w:hAnsi="宋体" w:cs="宋体"/>
          <w:b/>
          <w:bCs/>
          <w:kern w:val="0"/>
          <w:sz w:val="24"/>
          <w:lang w:val="en-US" w:eastAsia="zh-CN"/>
        </w:rPr>
      </w:pPr>
      <w:r>
        <w:rPr>
          <w:rFonts w:hint="eastAsia" w:ascii="宋体" w:hAnsi="宋体" w:cs="宋体"/>
          <w:b/>
          <w:bCs/>
          <w:kern w:val="0"/>
          <w:sz w:val="24"/>
          <w:lang w:val="en-US" w:eastAsia="zh-CN"/>
        </w:rPr>
        <w:t>四、服务内容</w:t>
      </w:r>
    </w:p>
    <w:p w14:paraId="47A99B59">
      <w:pPr>
        <w:pStyle w:val="4"/>
        <w:numPr>
          <w:ilvl w:val="1"/>
          <w:numId w:val="10"/>
        </w:numPr>
        <w:ind w:left="0" w:leftChars="0" w:right="210" w:rightChars="0" w:firstLine="400" w:firstLineChars="0"/>
        <w:rPr>
          <w:rFonts w:hint="eastAsia"/>
        </w:rPr>
      </w:pPr>
      <w:r>
        <w:rPr>
          <w:rFonts w:hint="eastAsia"/>
        </w:rPr>
        <w:t>技术支持服务</w:t>
      </w:r>
    </w:p>
    <w:p w14:paraId="600CCBFA">
      <w:pPr>
        <w:spacing w:line="360" w:lineRule="auto"/>
        <w:ind w:firstLine="480" w:firstLineChars="200"/>
        <w:rPr>
          <w:rFonts w:ascii="宋体" w:hAnsi="宋体" w:cs="微软雅黑"/>
          <w:sz w:val="24"/>
          <w:szCs w:val="24"/>
        </w:rPr>
      </w:pPr>
      <w:r>
        <w:rPr>
          <w:rFonts w:ascii="宋体" w:hAnsi="宋体" w:cs="微软雅黑"/>
          <w:sz w:val="24"/>
          <w:szCs w:val="24"/>
        </w:rPr>
        <w:t>在</w:t>
      </w:r>
      <w:r>
        <w:rPr>
          <w:rFonts w:hint="eastAsia" w:ascii="宋体" w:hAnsi="宋体" w:cs="微软雅黑"/>
          <w:sz w:val="24"/>
          <w:szCs w:val="24"/>
        </w:rPr>
        <w:t>运维</w:t>
      </w:r>
      <w:r>
        <w:rPr>
          <w:rFonts w:ascii="宋体" w:hAnsi="宋体" w:cs="微软雅黑"/>
          <w:sz w:val="24"/>
          <w:szCs w:val="24"/>
        </w:rPr>
        <w:t>期内，提供免费上门维修服务，并保证本工程所涉及所有设备处于正常工作状态，对故障设备负责免费维修，对不能修复的设备负责免费更换。</w:t>
      </w:r>
    </w:p>
    <w:p w14:paraId="2BEA56A5">
      <w:pPr>
        <w:spacing w:line="360" w:lineRule="auto"/>
        <w:ind w:firstLine="480" w:firstLineChars="200"/>
        <w:rPr>
          <w:rFonts w:ascii="宋体" w:hAnsi="宋体" w:cs="微软雅黑"/>
          <w:sz w:val="24"/>
          <w:szCs w:val="24"/>
        </w:rPr>
      </w:pPr>
      <w:r>
        <w:rPr>
          <w:rFonts w:ascii="宋体" w:hAnsi="宋体" w:cs="微软雅黑"/>
          <w:sz w:val="24"/>
          <w:szCs w:val="24"/>
        </w:rPr>
        <w:t>在系统安装调试完毕后，本公司组织人员对系统运行情况进行监测，并对有关人员进行现场培训，直到保证客户的系统维护人员已经掌握基本的操作和具备一定经验，能独立进行系统管理和异常情况处理。</w:t>
      </w:r>
    </w:p>
    <w:p w14:paraId="3473CC0E">
      <w:pPr>
        <w:spacing w:line="360" w:lineRule="auto"/>
        <w:ind w:firstLine="480" w:firstLineChars="200"/>
        <w:rPr>
          <w:rFonts w:ascii="宋体" w:hAnsi="宋体" w:cs="微软雅黑"/>
          <w:sz w:val="24"/>
          <w:szCs w:val="24"/>
        </w:rPr>
      </w:pPr>
      <w:r>
        <w:rPr>
          <w:rFonts w:ascii="宋体" w:hAnsi="宋体" w:cs="微软雅黑"/>
          <w:sz w:val="24"/>
          <w:szCs w:val="24"/>
        </w:rPr>
        <w:t>该项目的产品、应用系统一旦发生问题后，可以使用以下方式获得服务。</w:t>
      </w:r>
    </w:p>
    <w:p w14:paraId="42AB80BE">
      <w:pPr>
        <w:spacing w:line="360" w:lineRule="auto"/>
        <w:ind w:firstLine="482" w:firstLineChars="200"/>
        <w:rPr>
          <w:rFonts w:ascii="宋体" w:hAnsi="宋体" w:cs="微软雅黑"/>
          <w:b/>
          <w:bCs/>
          <w:sz w:val="24"/>
          <w:szCs w:val="24"/>
        </w:rPr>
      </w:pPr>
      <w:r>
        <w:rPr>
          <w:rFonts w:ascii="宋体" w:hAnsi="宋体" w:cs="微软雅黑"/>
          <w:b/>
          <w:bCs/>
          <w:sz w:val="24"/>
          <w:szCs w:val="24"/>
        </w:rPr>
        <w:t>1）电话/电子邮件技术支持</w:t>
      </w:r>
    </w:p>
    <w:p w14:paraId="6EB57F46">
      <w:pPr>
        <w:spacing w:line="360" w:lineRule="auto"/>
        <w:ind w:firstLine="480" w:firstLineChars="200"/>
        <w:rPr>
          <w:rFonts w:ascii="宋体" w:hAnsi="宋体" w:cs="微软雅黑"/>
          <w:sz w:val="24"/>
          <w:szCs w:val="24"/>
        </w:rPr>
      </w:pPr>
      <w:r>
        <w:rPr>
          <w:rFonts w:ascii="宋体" w:hAnsi="宋体" w:cs="微软雅黑"/>
          <w:sz w:val="24"/>
          <w:szCs w:val="24"/>
        </w:rPr>
        <w:t>用户在数字证书的申请、更新和解锁等环节中如遇到业务办理或证书产品使用问题，可以通过以客服热线、电子邮件方式进行咨询。如在证书登录、电子签名、电子签章等环节中遇到的各类证书应用的技术性问题，可通过热线电话、电子邮件等向寻求帮助。</w:t>
      </w:r>
    </w:p>
    <w:p w14:paraId="2A8B38FA">
      <w:pPr>
        <w:spacing w:line="360" w:lineRule="auto"/>
        <w:ind w:firstLine="480" w:firstLineChars="200"/>
        <w:rPr>
          <w:rFonts w:ascii="宋体" w:hAnsi="宋体" w:cs="微软雅黑"/>
          <w:sz w:val="24"/>
          <w:szCs w:val="24"/>
        </w:rPr>
      </w:pPr>
      <w:r>
        <w:rPr>
          <w:rFonts w:ascii="宋体" w:hAnsi="宋体" w:cs="微软雅黑"/>
          <w:sz w:val="24"/>
          <w:szCs w:val="24"/>
        </w:rPr>
        <w:t>服务时间：7*24小时</w:t>
      </w:r>
    </w:p>
    <w:p w14:paraId="69536C46">
      <w:pPr>
        <w:spacing w:line="360" w:lineRule="auto"/>
        <w:ind w:firstLine="482" w:firstLineChars="200"/>
        <w:rPr>
          <w:rFonts w:ascii="宋体" w:hAnsi="宋体" w:cs="微软雅黑"/>
          <w:b/>
          <w:bCs/>
          <w:sz w:val="24"/>
          <w:szCs w:val="24"/>
        </w:rPr>
      </w:pPr>
      <w:r>
        <w:rPr>
          <w:rFonts w:ascii="宋体" w:hAnsi="宋体" w:cs="微软雅黑"/>
          <w:b/>
          <w:bCs/>
          <w:sz w:val="24"/>
          <w:szCs w:val="24"/>
        </w:rPr>
        <w:t>2）现场技术支持</w:t>
      </w:r>
    </w:p>
    <w:p w14:paraId="435443CC">
      <w:pPr>
        <w:spacing w:line="360" w:lineRule="auto"/>
        <w:ind w:firstLine="480" w:firstLineChars="200"/>
        <w:rPr>
          <w:rFonts w:ascii="宋体" w:hAnsi="宋体" w:cs="微软雅黑"/>
          <w:sz w:val="24"/>
          <w:szCs w:val="24"/>
        </w:rPr>
      </w:pPr>
      <w:r>
        <w:rPr>
          <w:rFonts w:ascii="宋体" w:hAnsi="宋体" w:cs="微软雅黑"/>
          <w:sz w:val="24"/>
          <w:szCs w:val="24"/>
        </w:rPr>
        <w:t>用户在数字证书的申请、更新和解锁等环节中如遇到业务办理问题以及用户在证书登录、电子签章等环节中遇到的各类证书应用问题或产品使用问题，可以派遣技术工程师至用户现场协助解决问题，支持次数不限，上海、北京和武汉4小时内到达现场。</w:t>
      </w:r>
    </w:p>
    <w:p w14:paraId="4821AC71">
      <w:pPr>
        <w:spacing w:line="360" w:lineRule="auto"/>
        <w:ind w:firstLine="480" w:firstLineChars="200"/>
        <w:rPr>
          <w:rFonts w:ascii="宋体" w:hAnsi="宋体" w:cs="微软雅黑"/>
          <w:sz w:val="24"/>
          <w:szCs w:val="24"/>
        </w:rPr>
      </w:pPr>
      <w:r>
        <w:rPr>
          <w:rFonts w:ascii="宋体" w:hAnsi="宋体" w:cs="微软雅黑"/>
          <w:sz w:val="24"/>
          <w:szCs w:val="24"/>
        </w:rPr>
        <w:t>服务时间：7*24小时</w:t>
      </w:r>
    </w:p>
    <w:p w14:paraId="1548F936">
      <w:pPr>
        <w:spacing w:line="360" w:lineRule="auto"/>
        <w:ind w:firstLine="482" w:firstLineChars="200"/>
        <w:rPr>
          <w:rFonts w:ascii="宋体" w:hAnsi="宋体" w:cs="微软雅黑"/>
          <w:b/>
          <w:bCs/>
          <w:sz w:val="24"/>
          <w:szCs w:val="24"/>
        </w:rPr>
      </w:pPr>
      <w:r>
        <w:rPr>
          <w:rFonts w:ascii="宋体" w:hAnsi="宋体" w:cs="微软雅黑"/>
          <w:b/>
          <w:bCs/>
          <w:sz w:val="24"/>
          <w:szCs w:val="24"/>
        </w:rPr>
        <w:t>3巡检服务</w:t>
      </w:r>
    </w:p>
    <w:p w14:paraId="1EDF65B5">
      <w:pPr>
        <w:spacing w:line="360" w:lineRule="auto"/>
        <w:ind w:firstLine="480" w:firstLineChars="200"/>
        <w:rPr>
          <w:rFonts w:ascii="宋体" w:hAnsi="宋体" w:cs="微软雅黑"/>
          <w:sz w:val="24"/>
          <w:szCs w:val="24"/>
        </w:rPr>
      </w:pPr>
      <w:r>
        <w:rPr>
          <w:rFonts w:ascii="宋体" w:hAnsi="宋体" w:cs="微软雅黑"/>
          <w:sz w:val="24"/>
          <w:szCs w:val="24"/>
        </w:rPr>
        <w:t>每年定期至客户现场进行巡检，巡检内容包括：产品硬件设备、软件服务、应用等方面的检查和备份记录，并提交用户确认。</w:t>
      </w:r>
    </w:p>
    <w:p w14:paraId="7EFECD2D">
      <w:pPr>
        <w:pStyle w:val="4"/>
        <w:ind w:right="210"/>
        <w:rPr>
          <w:rFonts w:hint="eastAsia"/>
        </w:rPr>
      </w:pPr>
      <w:r>
        <w:rPr>
          <w:rFonts w:hint="eastAsia"/>
        </w:rPr>
        <w:t>咨询服务</w:t>
      </w:r>
    </w:p>
    <w:p w14:paraId="684486EF">
      <w:pPr>
        <w:spacing w:line="360" w:lineRule="auto"/>
        <w:ind w:firstLine="480" w:firstLineChars="200"/>
        <w:rPr>
          <w:rFonts w:hint="eastAsia" w:ascii="宋体" w:hAnsi="宋体" w:cs="微软雅黑"/>
          <w:sz w:val="24"/>
          <w:szCs w:val="24"/>
        </w:rPr>
      </w:pPr>
      <w:r>
        <w:rPr>
          <w:rFonts w:ascii="宋体" w:hAnsi="宋体" w:cs="微软雅黑"/>
          <w:sz w:val="24"/>
          <w:szCs w:val="24"/>
        </w:rPr>
        <w:t>为用户提供信息安全体系整体规划咨询，系统相关问题的咨询和服务支持。对于客户对现有设备改进的要求，提供新技术咨询，可向客户介绍新产品，新设备的性价比，为客户更新改进原有系统提供建议。能根据产品特点，结合用户业务特点提出建设性意见，保障客户最大限度的利益</w:t>
      </w:r>
      <w:r>
        <w:rPr>
          <w:rFonts w:hint="eastAsia" w:ascii="宋体" w:hAnsi="宋体" w:cs="微软雅黑"/>
          <w:sz w:val="24"/>
          <w:szCs w:val="24"/>
        </w:rPr>
        <w:t>。</w:t>
      </w:r>
    </w:p>
    <w:p w14:paraId="4358DA70">
      <w:pPr>
        <w:pStyle w:val="4"/>
        <w:ind w:right="210"/>
        <w:rPr>
          <w:rFonts w:hint="eastAsia"/>
        </w:rPr>
      </w:pPr>
      <w:r>
        <w:rPr>
          <w:rFonts w:hint="eastAsia"/>
        </w:rPr>
        <w:t>应急处理保障</w:t>
      </w:r>
    </w:p>
    <w:p w14:paraId="234FFAE1">
      <w:pPr>
        <w:spacing w:line="360" w:lineRule="auto"/>
        <w:ind w:firstLine="480" w:firstLineChars="200"/>
        <w:rPr>
          <w:rFonts w:ascii="宋体" w:hAnsi="宋体" w:cs="微软雅黑"/>
          <w:sz w:val="24"/>
          <w:szCs w:val="24"/>
        </w:rPr>
      </w:pPr>
      <w:r>
        <w:rPr>
          <w:rFonts w:hint="eastAsia" w:ascii="宋体" w:hAnsi="宋体" w:cs="微软雅黑"/>
          <w:sz w:val="24"/>
          <w:szCs w:val="24"/>
        </w:rPr>
        <w:t>在发生重大事件或特殊应急事件时，上海CA将根据用户单位的要求而临时提供的超越常规要求的应急保障服务。</w:t>
      </w:r>
    </w:p>
    <w:p w14:paraId="3CEE34C5">
      <w:pPr>
        <w:spacing w:line="360" w:lineRule="auto"/>
        <w:ind w:firstLine="480" w:firstLineChars="200"/>
        <w:rPr>
          <w:rFonts w:ascii="宋体" w:hAnsi="宋体" w:cs="微软雅黑"/>
          <w:sz w:val="24"/>
          <w:szCs w:val="24"/>
        </w:rPr>
      </w:pPr>
      <w:r>
        <w:rPr>
          <w:rFonts w:hint="eastAsia" w:ascii="宋体" w:hAnsi="宋体" w:cs="微软雅黑"/>
          <w:sz w:val="24"/>
          <w:szCs w:val="24"/>
        </w:rPr>
        <w:t>为了提高重大事件或特殊应急事件的能力，科学的评估认证服务可能出现的突发性安全事件，完善保障措施和应急工作机制，规范应急响应工作内容和工作流程，有效预防、及时控制和最大限度地消除突发事件的危害和影响，上海CA中心制定了应急服务预案，保障认证服务系统的安全、稳定、可靠的运行，确保认证服务的业务连续性。上海CA建立起如下应急保障措施和应急工作机制：</w:t>
      </w:r>
    </w:p>
    <w:p w14:paraId="79ABEBE3">
      <w:pPr>
        <w:spacing w:line="360" w:lineRule="auto"/>
        <w:ind w:firstLine="482" w:firstLineChars="200"/>
        <w:rPr>
          <w:rFonts w:ascii="宋体" w:hAnsi="宋体" w:cs="微软雅黑"/>
          <w:b/>
          <w:bCs/>
          <w:sz w:val="24"/>
          <w:szCs w:val="24"/>
        </w:rPr>
      </w:pPr>
      <w:r>
        <w:rPr>
          <w:rFonts w:hint="eastAsia" w:ascii="宋体" w:hAnsi="宋体" w:cs="微软雅黑"/>
          <w:b/>
          <w:bCs/>
          <w:sz w:val="24"/>
          <w:szCs w:val="24"/>
        </w:rPr>
        <w:t>1）应急服务响应体系</w:t>
      </w:r>
    </w:p>
    <w:p w14:paraId="06F9A0DA">
      <w:pPr>
        <w:spacing w:line="360" w:lineRule="auto"/>
        <w:ind w:firstLine="480" w:firstLineChars="200"/>
        <w:rPr>
          <w:rFonts w:ascii="宋体" w:hAnsi="宋体" w:cs="微软雅黑"/>
          <w:sz w:val="24"/>
          <w:szCs w:val="24"/>
        </w:rPr>
      </w:pPr>
      <w:r>
        <w:rPr>
          <w:rFonts w:hint="eastAsia" w:ascii="宋体" w:hAnsi="宋体" w:cs="微软雅黑"/>
          <w:sz w:val="24"/>
          <w:szCs w:val="24"/>
        </w:rPr>
        <w:t>上海CA提供应急服务热线，并成立三个应急小组：领导小组、技术响应小组、服务响应小组。</w:t>
      </w:r>
    </w:p>
    <w:p w14:paraId="0C9605F6">
      <w:pPr>
        <w:spacing w:line="360" w:lineRule="auto"/>
        <w:ind w:firstLine="480" w:firstLineChars="200"/>
        <w:rPr>
          <w:rFonts w:ascii="宋体" w:hAnsi="宋体" w:cs="微软雅黑"/>
          <w:sz w:val="24"/>
          <w:szCs w:val="24"/>
        </w:rPr>
      </w:pPr>
      <w:r>
        <w:rPr>
          <w:rFonts w:hint="eastAsia" w:ascii="宋体" w:hAnsi="宋体" w:cs="微软雅黑"/>
          <w:sz w:val="24"/>
          <w:szCs w:val="24"/>
        </w:rPr>
        <w:t>领导小组：负责紧急协调公司内部资源，合理安排人员、车辆、设备等确保应急工作顺利实施；</w:t>
      </w:r>
    </w:p>
    <w:p w14:paraId="2280915F">
      <w:pPr>
        <w:spacing w:line="360" w:lineRule="auto"/>
        <w:ind w:firstLine="480" w:firstLineChars="200"/>
        <w:rPr>
          <w:rFonts w:ascii="宋体" w:hAnsi="宋体" w:cs="微软雅黑"/>
          <w:sz w:val="24"/>
          <w:szCs w:val="24"/>
        </w:rPr>
      </w:pPr>
      <w:r>
        <w:rPr>
          <w:rFonts w:hint="eastAsia" w:ascii="宋体" w:hAnsi="宋体" w:cs="微软雅黑"/>
          <w:sz w:val="24"/>
          <w:szCs w:val="24"/>
        </w:rPr>
        <w:t>技术响应小组：负责响应证书发放系统、证书应用系统及其他证书应用支撑系统运行过程中出现的紧急情况；</w:t>
      </w:r>
    </w:p>
    <w:p w14:paraId="23FCD9D2">
      <w:pPr>
        <w:spacing w:line="360" w:lineRule="auto"/>
        <w:ind w:firstLine="480" w:firstLineChars="200"/>
        <w:rPr>
          <w:rFonts w:eastAsia="等线"/>
          <w:shd w:val="clear" w:color="auto" w:fill="FFFFFF"/>
        </w:rPr>
      </w:pPr>
      <w:r>
        <w:rPr>
          <w:rFonts w:hint="eastAsia" w:ascii="宋体" w:hAnsi="宋体" w:cs="微软雅黑"/>
          <w:sz w:val="24"/>
          <w:szCs w:val="24"/>
        </w:rPr>
        <w:t>服务响应小组：负责响应在业务处理过程中出现的证书无法使用、介质被锁、紧急签发等紧急情况</w:t>
      </w:r>
    </w:p>
    <w:p w14:paraId="17BFE4B0">
      <w:pPr>
        <w:spacing w:line="360" w:lineRule="auto"/>
        <w:ind w:firstLine="482" w:firstLineChars="200"/>
        <w:rPr>
          <w:rFonts w:hint="eastAsia" w:ascii="宋体" w:hAnsi="宋体" w:cs="微软雅黑"/>
          <w:b/>
          <w:bCs/>
          <w:sz w:val="24"/>
          <w:szCs w:val="24"/>
        </w:rPr>
      </w:pPr>
      <w:r>
        <w:rPr>
          <w:rFonts w:hint="eastAsia" w:ascii="宋体" w:hAnsi="宋体" w:cs="微软雅黑"/>
          <w:b/>
          <w:bCs/>
          <w:sz w:val="24"/>
          <w:szCs w:val="24"/>
        </w:rPr>
        <w:t>2）应急响应范围</w:t>
      </w:r>
    </w:p>
    <w:p w14:paraId="68F062C5">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由于上海CA提供的产品、系统或服务导致如下紧急情况时，上海CA将提供应急服务，以降低对业务系统的影响：</w:t>
      </w:r>
    </w:p>
    <w:p w14:paraId="5F734A6E">
      <w:pPr>
        <w:spacing w:line="360" w:lineRule="auto"/>
        <w:ind w:firstLine="480" w:firstLineChars="200"/>
        <w:rPr>
          <w:rFonts w:eastAsia="等线"/>
          <w:shd w:val="clear" w:color="auto" w:fill="FFFFFF"/>
        </w:rPr>
      </w:pPr>
      <w:r>
        <w:rPr>
          <w:rFonts w:hint="eastAsia" w:ascii="宋体" w:hAnsi="宋体" w:cs="微软雅黑"/>
          <w:sz w:val="24"/>
          <w:szCs w:val="24"/>
        </w:rPr>
        <w:t>第一类应急响应情况及处置方式</w:t>
      </w:r>
    </w:p>
    <w:p w14:paraId="7096EA25">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医院业务系统瘫痪、性能大幅下降的</w:t>
      </w:r>
    </w:p>
    <w:p w14:paraId="68D9D184">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证书问题导致门诊、急诊超过30分钟无法正常工作的</w:t>
      </w:r>
    </w:p>
    <w:p w14:paraId="58B755C7">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证书问题导致住院部超过2小时无法正常工作的</w:t>
      </w:r>
    </w:p>
    <w:p w14:paraId="644544A5">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第二类应急响应情况及处置方式</w:t>
      </w:r>
    </w:p>
    <w:p w14:paraId="1E955871">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证书管理系统和受理点超过2个小时不能签发证书的</w:t>
      </w:r>
    </w:p>
    <w:p w14:paraId="1639282D">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部署于用户单位的电子认证服务系统无法查询黑名单的</w:t>
      </w:r>
    </w:p>
    <w:p w14:paraId="252B2D8E">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部署于用户单位的时间戳服务无法提供时间签名的</w:t>
      </w:r>
    </w:p>
    <w:p w14:paraId="64C7F1C8">
      <w:pPr>
        <w:pStyle w:val="3"/>
        <w:ind w:firstLine="410"/>
        <w:rPr>
          <w:rFonts w:hint="eastAsia" w:ascii="宋体" w:hAnsi="宋体"/>
          <w:shd w:val="clear" w:color="auto" w:fill="FFFFFF"/>
        </w:rPr>
      </w:pPr>
      <w:r>
        <w:rPr>
          <w:rFonts w:hint="eastAsia" w:ascii="宋体" w:hAnsi="宋体"/>
          <w:shd w:val="clear" w:color="auto" w:fill="FFFFFF"/>
        </w:rPr>
        <w:t>第三类应急响应情况及处置方式</w:t>
      </w:r>
    </w:p>
    <w:p w14:paraId="388A639C">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医院明确提出需要上海CA提供应急服务的</w:t>
      </w:r>
    </w:p>
    <w:p w14:paraId="100D7722">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医院发生重大灾难导致证书发放及证书应用系统无法正常使用的</w:t>
      </w:r>
    </w:p>
    <w:p w14:paraId="6323E5DB">
      <w:pPr>
        <w:spacing w:line="360" w:lineRule="auto"/>
        <w:ind w:firstLine="482" w:firstLineChars="200"/>
        <w:rPr>
          <w:rFonts w:hint="eastAsia" w:ascii="宋体" w:hAnsi="宋体" w:cs="微软雅黑"/>
          <w:b/>
          <w:bCs/>
          <w:sz w:val="24"/>
          <w:szCs w:val="24"/>
        </w:rPr>
      </w:pPr>
      <w:r>
        <w:rPr>
          <w:rFonts w:hint="eastAsia" w:ascii="宋体" w:hAnsi="宋体" w:cs="微软雅黑"/>
          <w:b/>
          <w:bCs/>
          <w:sz w:val="24"/>
          <w:szCs w:val="24"/>
        </w:rPr>
        <w:t>3）应急处置方式</w:t>
      </w:r>
    </w:p>
    <w:p w14:paraId="33A983F9">
      <w:pPr>
        <w:pStyle w:val="3"/>
        <w:ind w:firstLine="410"/>
        <w:rPr>
          <w:rFonts w:hint="eastAsia" w:ascii="宋体" w:hAnsi="宋体"/>
          <w:shd w:val="clear" w:color="auto" w:fill="FFFFFF"/>
        </w:rPr>
      </w:pPr>
      <w:r>
        <w:rPr>
          <w:rFonts w:hint="eastAsia" w:ascii="宋体" w:hAnsi="宋体"/>
          <w:shd w:val="clear" w:color="auto" w:fill="FFFFFF"/>
        </w:rPr>
        <w:t>证书不能发放的情况，上海CA服务人员将在第一时间赶赴现场，采用移动证书发放系统为用户制作证书；</w:t>
      </w:r>
    </w:p>
    <w:p w14:paraId="49F9E868">
      <w:pPr>
        <w:pStyle w:val="3"/>
        <w:ind w:firstLine="410"/>
        <w:rPr>
          <w:rFonts w:hint="eastAsia" w:ascii="宋体" w:hAnsi="宋体"/>
          <w:shd w:val="clear" w:color="auto" w:fill="FFFFFF"/>
        </w:rPr>
      </w:pPr>
      <w:r>
        <w:rPr>
          <w:rFonts w:hint="eastAsia" w:ascii="宋体" w:hAnsi="宋体"/>
          <w:shd w:val="clear" w:color="auto" w:fill="FFFFFF"/>
        </w:rPr>
        <w:t>其他应急响应步骤如下：</w:t>
      </w:r>
    </w:p>
    <w:p w14:paraId="56183857">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接线人员电话解决用户的问题；</w:t>
      </w:r>
    </w:p>
    <w:p w14:paraId="58199E2E">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技术支持人员分析事故原因，现场进行解决；</w:t>
      </w:r>
    </w:p>
    <w:p w14:paraId="302FD810">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现场无法解决的，紧急安排后备技术支持人员携带备品、备件选择最快的交通工具抵达现场；</w:t>
      </w:r>
    </w:p>
    <w:p w14:paraId="05900565">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事故得到妥善解决后，形成事故分析处理报告并向用户提交</w:t>
      </w:r>
    </w:p>
    <w:p w14:paraId="368B3FF6">
      <w:pPr>
        <w:pStyle w:val="3"/>
        <w:ind w:firstLine="410"/>
        <w:rPr>
          <w:rFonts w:hint="eastAsia" w:ascii="宋体" w:hAnsi="宋体"/>
          <w:shd w:val="clear" w:color="auto" w:fill="FFFFFF"/>
        </w:rPr>
      </w:pPr>
      <w:r>
        <w:rPr>
          <w:rFonts w:hint="eastAsia" w:ascii="宋体" w:hAnsi="宋体"/>
          <w:shd w:val="clear" w:color="auto" w:fill="FFFFFF"/>
        </w:rPr>
        <w:t>预防措施</w:t>
      </w:r>
    </w:p>
    <w:p w14:paraId="57650B00">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上海CA提供所供应设备的冗余服务，保证合理数量备品、备件，满足医院系统的应急服务需求</w:t>
      </w:r>
    </w:p>
    <w:p w14:paraId="4DCE931F">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上海CA建议用户单位以单位名义申请部分紧急备用证书，如果发生个别证书无法正常使用，按照一定流程申请领用备用证书，在其重新领取证书或原证书可以正常使用后，将备用证书归还</w:t>
      </w:r>
    </w:p>
    <w:p w14:paraId="22696B8D">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上海CA建议用户单位对关键设备采用双机热备或冗余方式保障安全</w:t>
      </w:r>
    </w:p>
    <w:p w14:paraId="02CFB4E6">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上海CA将与用户单位定期进行应急演练</w:t>
      </w:r>
    </w:p>
    <w:p w14:paraId="733EC16C">
      <w:pPr>
        <w:spacing w:line="360" w:lineRule="auto"/>
        <w:ind w:firstLine="482" w:firstLineChars="200"/>
        <w:rPr>
          <w:rFonts w:hint="eastAsia" w:ascii="宋体" w:hAnsi="宋体" w:cs="微软雅黑"/>
          <w:b/>
          <w:bCs/>
          <w:sz w:val="24"/>
          <w:szCs w:val="24"/>
        </w:rPr>
      </w:pPr>
      <w:r>
        <w:rPr>
          <w:rFonts w:hint="eastAsia" w:ascii="宋体" w:hAnsi="宋体" w:cs="微软雅黑"/>
          <w:b/>
          <w:bCs/>
          <w:sz w:val="24"/>
          <w:szCs w:val="24"/>
        </w:rPr>
        <w:t>4）应急服务预案适用范围</w:t>
      </w:r>
    </w:p>
    <w:p w14:paraId="60135C2A">
      <w:pPr>
        <w:pStyle w:val="3"/>
        <w:ind w:firstLine="410"/>
        <w:rPr>
          <w:rFonts w:hint="eastAsia" w:ascii="宋体" w:hAnsi="宋体"/>
          <w:shd w:val="clear" w:color="auto" w:fill="FFFFFF"/>
        </w:rPr>
      </w:pPr>
      <w:r>
        <w:rPr>
          <w:rFonts w:hint="eastAsia" w:ascii="宋体" w:hAnsi="宋体"/>
          <w:shd w:val="clear" w:color="auto" w:fill="FFFFFF"/>
        </w:rPr>
        <w:t>本预案适用于全国医院系统安全应用平台中，所有使用上海CA中心提供的各种数字证书及证书设备，以及对证书提供认证服务的软、硬件设备范围内，由于自然灾害、软硬件设备故障，人为失误或者破坏等原因严重影响到数字证书及证书认证设备或服务的正常运行和系统认证服务的业务连续性，系统服务中断、人员突然离职、客户端或服务端证书损坏等出现的安全事件。</w:t>
      </w:r>
    </w:p>
    <w:p w14:paraId="00DCE02A">
      <w:pPr>
        <w:spacing w:line="360" w:lineRule="auto"/>
        <w:ind w:firstLine="482" w:firstLineChars="200"/>
        <w:rPr>
          <w:rFonts w:hint="eastAsia" w:ascii="宋体" w:hAnsi="宋体" w:cs="微软雅黑"/>
          <w:b/>
          <w:bCs/>
          <w:sz w:val="24"/>
          <w:szCs w:val="24"/>
        </w:rPr>
      </w:pPr>
      <w:r>
        <w:rPr>
          <w:rFonts w:hint="eastAsia" w:ascii="宋体" w:hAnsi="宋体" w:cs="微软雅黑"/>
          <w:b/>
          <w:bCs/>
          <w:sz w:val="24"/>
          <w:szCs w:val="24"/>
        </w:rPr>
        <w:t>5）组织体系与职责</w:t>
      </w:r>
    </w:p>
    <w:p w14:paraId="41998AD7">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组织体系</w:t>
      </w:r>
    </w:p>
    <w:p w14:paraId="50CE0B8E">
      <w:pPr>
        <w:pStyle w:val="3"/>
        <w:ind w:firstLine="410"/>
        <w:rPr>
          <w:rFonts w:hint="eastAsia" w:ascii="宋体" w:hAnsi="宋体"/>
        </w:rPr>
      </w:pPr>
      <w:r>
        <w:rPr>
          <w:rFonts w:hint="eastAsia" w:ascii="宋体" w:hAnsi="宋体"/>
        </w:rPr>
        <w:t>应急工作领导小组：</w:t>
      </w:r>
      <w:r>
        <w:rPr>
          <w:rFonts w:hint="eastAsia" w:ascii="宋体" w:hAnsi="宋体"/>
          <w:shd w:val="clear" w:color="auto" w:fill="FFFFFF"/>
        </w:rPr>
        <w:t>医院</w:t>
      </w:r>
      <w:r>
        <w:rPr>
          <w:rFonts w:hint="eastAsia" w:ascii="宋体" w:hAnsi="宋体"/>
        </w:rPr>
        <w:t>系统人员、上海CA中心人员</w:t>
      </w:r>
    </w:p>
    <w:p w14:paraId="4D74A118">
      <w:pPr>
        <w:pStyle w:val="3"/>
        <w:ind w:firstLine="410"/>
        <w:rPr>
          <w:rFonts w:hint="eastAsia" w:ascii="宋体" w:hAnsi="宋体"/>
        </w:rPr>
      </w:pPr>
      <w:r>
        <w:rPr>
          <w:rFonts w:hint="eastAsia" w:ascii="宋体" w:hAnsi="宋体"/>
        </w:rPr>
        <w:t>应急工作执行小组：</w:t>
      </w:r>
      <w:r>
        <w:rPr>
          <w:rFonts w:hint="eastAsia" w:ascii="宋体" w:hAnsi="宋体"/>
          <w:shd w:val="clear" w:color="auto" w:fill="FFFFFF"/>
        </w:rPr>
        <w:t>医院</w:t>
      </w:r>
      <w:r>
        <w:rPr>
          <w:rFonts w:hint="eastAsia" w:ascii="宋体" w:hAnsi="宋体"/>
        </w:rPr>
        <w:t>系统人员、上海CA中心人员</w:t>
      </w:r>
    </w:p>
    <w:p w14:paraId="349A877B">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应急工作领导小组工作职责</w:t>
      </w:r>
    </w:p>
    <w:p w14:paraId="2287AC40">
      <w:pPr>
        <w:pStyle w:val="3"/>
        <w:ind w:firstLine="410"/>
        <w:rPr>
          <w:rFonts w:hint="eastAsia" w:ascii="宋体" w:hAnsi="宋体"/>
        </w:rPr>
      </w:pPr>
      <w:r>
        <w:rPr>
          <w:rFonts w:hint="eastAsia" w:ascii="宋体" w:hAnsi="宋体"/>
        </w:rPr>
        <w:t>审定系统应急响应策略，处理重大事件、事故责任</w:t>
      </w:r>
    </w:p>
    <w:p w14:paraId="6FF35F6F">
      <w:pPr>
        <w:pStyle w:val="3"/>
        <w:ind w:firstLine="410"/>
        <w:rPr>
          <w:rFonts w:hint="eastAsia" w:ascii="宋体" w:hAnsi="宋体"/>
        </w:rPr>
      </w:pPr>
      <w:r>
        <w:rPr>
          <w:rFonts w:hint="eastAsia" w:ascii="宋体" w:hAnsi="宋体"/>
        </w:rPr>
        <w:t>召开运营安全管理会议，听取应急工作执行小组的工作汇报和事故处理意见，做出相应决策</w:t>
      </w:r>
    </w:p>
    <w:p w14:paraId="486FAAA3">
      <w:pPr>
        <w:pStyle w:val="3"/>
        <w:ind w:firstLine="410"/>
        <w:rPr>
          <w:rFonts w:hint="eastAsia" w:ascii="宋体" w:hAnsi="宋体"/>
        </w:rPr>
      </w:pPr>
      <w:r>
        <w:rPr>
          <w:rFonts w:hint="eastAsia" w:ascii="宋体" w:hAnsi="宋体"/>
        </w:rPr>
        <w:t>组织应急保障及维护工作，听取应急工作执行小组的工作报告</w:t>
      </w:r>
    </w:p>
    <w:p w14:paraId="7988778B">
      <w:pPr>
        <w:pStyle w:val="3"/>
        <w:ind w:firstLine="410"/>
        <w:rPr>
          <w:rFonts w:hint="eastAsia" w:ascii="宋体" w:hAnsi="宋体"/>
        </w:rPr>
      </w:pPr>
      <w:r>
        <w:rPr>
          <w:rFonts w:hint="eastAsia" w:ascii="宋体" w:hAnsi="宋体"/>
        </w:rPr>
        <w:t>启动重大灾难恢复预案，合理调配内外资源，组织灾后恢复、重建工作</w:t>
      </w:r>
    </w:p>
    <w:p w14:paraId="01273DE5">
      <w:pPr>
        <w:pStyle w:val="3"/>
        <w:ind w:firstLine="410"/>
        <w:rPr>
          <w:rFonts w:hint="eastAsia" w:ascii="宋体" w:hAnsi="宋体"/>
        </w:rPr>
      </w:pPr>
      <w:r>
        <w:rPr>
          <w:rFonts w:hint="eastAsia" w:ascii="宋体" w:hAnsi="宋体"/>
        </w:rPr>
        <w:t>对系统应急执行工作小组的各项工作进行监督指导</w:t>
      </w:r>
    </w:p>
    <w:p w14:paraId="18C74C62">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应急工作执行小组工作职责</w:t>
      </w:r>
    </w:p>
    <w:p w14:paraId="0B70C71B">
      <w:pPr>
        <w:pStyle w:val="3"/>
        <w:ind w:firstLine="410"/>
        <w:rPr>
          <w:rFonts w:hint="eastAsia" w:ascii="宋体" w:hAnsi="宋体"/>
        </w:rPr>
      </w:pPr>
      <w:r>
        <w:rPr>
          <w:rFonts w:hint="eastAsia" w:ascii="宋体" w:hAnsi="宋体"/>
        </w:rPr>
        <w:t>在应急工作领导小组的指导下，负责系统应急工作</w:t>
      </w:r>
    </w:p>
    <w:p w14:paraId="69618CD1">
      <w:pPr>
        <w:pStyle w:val="3"/>
        <w:ind w:firstLine="410"/>
        <w:rPr>
          <w:rFonts w:hint="eastAsia" w:ascii="宋体" w:hAnsi="宋体"/>
        </w:rPr>
      </w:pPr>
      <w:r>
        <w:rPr>
          <w:rFonts w:hint="eastAsia" w:ascii="宋体" w:hAnsi="宋体"/>
        </w:rPr>
        <w:t>起草系统应急预案草稿</w:t>
      </w:r>
    </w:p>
    <w:p w14:paraId="220F70BD">
      <w:pPr>
        <w:pStyle w:val="3"/>
        <w:ind w:firstLine="410"/>
        <w:rPr>
          <w:rFonts w:hint="eastAsia" w:ascii="宋体" w:hAnsi="宋体"/>
        </w:rPr>
      </w:pPr>
      <w:r>
        <w:rPr>
          <w:rFonts w:hint="eastAsia" w:ascii="宋体" w:hAnsi="宋体"/>
        </w:rPr>
        <w:t>及时报告重大安全事件</w:t>
      </w:r>
    </w:p>
    <w:p w14:paraId="7798DA6D">
      <w:pPr>
        <w:spacing w:line="360" w:lineRule="auto"/>
        <w:ind w:firstLine="482" w:firstLineChars="200"/>
        <w:rPr>
          <w:rFonts w:hint="eastAsia" w:ascii="宋体" w:hAnsi="宋体" w:cs="微软雅黑"/>
          <w:b/>
          <w:bCs/>
          <w:sz w:val="24"/>
          <w:szCs w:val="24"/>
        </w:rPr>
      </w:pPr>
      <w:r>
        <w:rPr>
          <w:rFonts w:hint="eastAsia" w:ascii="宋体" w:hAnsi="宋体" w:cs="微软雅黑"/>
          <w:b/>
          <w:bCs/>
          <w:sz w:val="24"/>
          <w:szCs w:val="24"/>
        </w:rPr>
        <w:t>6）预防机制</w:t>
      </w:r>
    </w:p>
    <w:p w14:paraId="23C10B69">
      <w:pPr>
        <w:pStyle w:val="3"/>
        <w:ind w:firstLine="410"/>
        <w:rPr>
          <w:rFonts w:hint="eastAsia" w:ascii="宋体" w:hAnsi="宋体"/>
        </w:rPr>
      </w:pPr>
      <w:r>
        <w:rPr>
          <w:rFonts w:hint="eastAsia" w:ascii="宋体" w:hAnsi="宋体"/>
        </w:rPr>
        <w:t>在所涉及的应用安全领域范围内积极推行人员、信息的安全等级保护，逐步实行信息的安全风险评估。认证系统、应用系统、客户服务、人员等重要信息系统建设要充分考虑应急备份与灾难恢复，制定并不断完善信息安全应急处理预案。</w:t>
      </w:r>
    </w:p>
    <w:p w14:paraId="76E36491">
      <w:pPr>
        <w:spacing w:line="360" w:lineRule="auto"/>
        <w:ind w:firstLine="482" w:firstLineChars="200"/>
        <w:rPr>
          <w:rFonts w:hint="eastAsia" w:ascii="宋体" w:hAnsi="宋体" w:cs="微软雅黑"/>
          <w:b/>
          <w:bCs/>
          <w:sz w:val="24"/>
          <w:szCs w:val="24"/>
        </w:rPr>
      </w:pPr>
      <w:bookmarkStart w:id="7" w:name="_Toc255461081"/>
      <w:bookmarkEnd w:id="7"/>
      <w:r>
        <w:rPr>
          <w:rFonts w:hint="eastAsia" w:ascii="宋体" w:hAnsi="宋体" w:cs="微软雅黑"/>
          <w:b/>
          <w:bCs/>
          <w:sz w:val="24"/>
          <w:szCs w:val="24"/>
        </w:rPr>
        <w:t>7）应急保障措施</w:t>
      </w:r>
    </w:p>
    <w:p w14:paraId="62CA0BAC">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机房故障应急处理措施</w:t>
      </w:r>
    </w:p>
    <w:p w14:paraId="3F814F8E">
      <w:pPr>
        <w:pStyle w:val="3"/>
        <w:ind w:firstLine="410"/>
        <w:rPr>
          <w:rFonts w:hint="eastAsia" w:ascii="宋体" w:hAnsi="宋体"/>
        </w:rPr>
      </w:pPr>
      <w:r>
        <w:rPr>
          <w:rFonts w:hint="eastAsia" w:ascii="宋体" w:hAnsi="宋体"/>
        </w:rPr>
        <w:t>机房环境，包括网络系统、电源系统、门禁系统、消防系统、空调系统等应急处理措施请遵守机房应急处理措施，应急情况发生时，配合医院系统各单位机房工作人员处理。</w:t>
      </w:r>
    </w:p>
    <w:p w14:paraId="1DEE2062">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设备故障应急处理措施</w:t>
      </w:r>
    </w:p>
    <w:p w14:paraId="46DD4259">
      <w:pPr>
        <w:pStyle w:val="3"/>
        <w:ind w:firstLine="410"/>
        <w:rPr>
          <w:rFonts w:hint="eastAsia" w:ascii="宋体" w:hAnsi="宋体"/>
        </w:rPr>
      </w:pPr>
      <w:r>
        <w:rPr>
          <w:rFonts w:hint="eastAsia" w:ascii="宋体" w:hAnsi="宋体"/>
        </w:rPr>
        <w:t>服务器设备建立冷备机制：每台日常运行并提供服务的CA服务器配备一台软、硬件配置完全相同的设备作为备份，并定期进行灾备演练，保障备机响应能力。当服务主机发生服务器故障时，应立即启动备机，并代替主机提供服务，主机下线进行维护。</w:t>
      </w:r>
    </w:p>
    <w:p w14:paraId="216F892B">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人力资源应急处理措施</w:t>
      </w:r>
    </w:p>
    <w:p w14:paraId="03B609DD">
      <w:pPr>
        <w:pStyle w:val="3"/>
        <w:ind w:firstLine="410"/>
        <w:rPr>
          <w:rFonts w:hint="eastAsia" w:ascii="宋体" w:hAnsi="宋体"/>
        </w:rPr>
      </w:pPr>
      <w:r>
        <w:rPr>
          <w:rFonts w:hint="eastAsia" w:ascii="宋体" w:hAnsi="宋体"/>
        </w:rPr>
        <w:t>上海CA中心将进行定期的服务器运行情况检查；当应急情况发生时，现场维护人员应及时了解情况，并上报执行小组，协同进行应急处理。</w:t>
      </w:r>
    </w:p>
    <w:p w14:paraId="6FE190B7">
      <w:pPr>
        <w:spacing w:line="360" w:lineRule="auto"/>
        <w:ind w:firstLine="482" w:firstLineChars="200"/>
        <w:rPr>
          <w:rFonts w:hint="eastAsia" w:ascii="宋体" w:hAnsi="宋体" w:cs="微软雅黑"/>
          <w:b/>
          <w:bCs/>
          <w:sz w:val="24"/>
          <w:szCs w:val="24"/>
        </w:rPr>
      </w:pPr>
      <w:r>
        <w:rPr>
          <w:rFonts w:hint="eastAsia" w:ascii="宋体" w:hAnsi="宋体" w:cs="微软雅黑"/>
          <w:b/>
          <w:bCs/>
          <w:sz w:val="24"/>
          <w:szCs w:val="24"/>
        </w:rPr>
        <w:t>8）应急处理流程</w:t>
      </w:r>
    </w:p>
    <w:p w14:paraId="3C90C18A">
      <w:pPr>
        <w:pStyle w:val="3"/>
        <w:ind w:firstLine="410"/>
        <w:rPr>
          <w:rFonts w:hint="eastAsia" w:ascii="宋体" w:hAnsi="宋体"/>
        </w:rPr>
      </w:pPr>
      <w:r>
        <w:rPr>
          <w:rFonts w:hint="eastAsia" w:ascii="宋体" w:hAnsi="宋体"/>
        </w:rPr>
        <w:t>在发生应急事件时，现场维护人员应第一时间报告应急工作执行小组，获得必要的支持。</w:t>
      </w:r>
    </w:p>
    <w:p w14:paraId="42C9AEDA">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预案启动</w:t>
      </w:r>
    </w:p>
    <w:p w14:paraId="598E3E87">
      <w:pPr>
        <w:pStyle w:val="3"/>
        <w:ind w:firstLine="410"/>
        <w:rPr>
          <w:rFonts w:hint="eastAsia" w:ascii="宋体" w:hAnsi="宋体"/>
        </w:rPr>
      </w:pPr>
      <w:r>
        <w:rPr>
          <w:rFonts w:hint="eastAsia" w:ascii="宋体" w:hAnsi="宋体"/>
        </w:rPr>
        <w:t>在发生应急事件后，现场维护人员尽最大可能收集事件相关信息，鉴别事件性质，确定事件来源，以确定事件影响的范围和评估事件带来的损害，对事件进行级别确认和上报。经过应急工作领导小组批准后，由应急工作执行小组启动应急预案，开始突发事件的应急处理工作，应急工作执行小组负责协商确定应急事件的处理方案。</w:t>
      </w:r>
    </w:p>
    <w:p w14:paraId="7FFB3F5D">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现场应急处理</w:t>
      </w:r>
    </w:p>
    <w:p w14:paraId="40D25AED">
      <w:pPr>
        <w:pStyle w:val="3"/>
        <w:ind w:firstLine="410"/>
        <w:rPr>
          <w:rFonts w:hint="eastAsia" w:ascii="宋体" w:hAnsi="宋体"/>
        </w:rPr>
      </w:pPr>
      <w:r>
        <w:rPr>
          <w:rFonts w:hint="eastAsia" w:ascii="宋体" w:hAnsi="宋体"/>
        </w:rPr>
        <w:t>一、确认阶段――确定应急处理方式</w:t>
      </w:r>
    </w:p>
    <w:p w14:paraId="5AA60D48">
      <w:pPr>
        <w:pStyle w:val="3"/>
        <w:ind w:firstLine="410"/>
        <w:rPr>
          <w:rFonts w:hint="eastAsia" w:ascii="宋体" w:hAnsi="宋体"/>
        </w:rPr>
      </w:pPr>
      <w:r>
        <w:rPr>
          <w:rFonts w:hint="eastAsia" w:ascii="宋体" w:hAnsi="宋体"/>
        </w:rPr>
        <w:t>现场维护人员应前行初步确定应急处理方式，如果以自身力量无法处理的事件，应提出应急处理支援请求，由应急工作执行小组协调相关技术力量提供技术支持。</w:t>
      </w:r>
    </w:p>
    <w:p w14:paraId="619D4409">
      <w:pPr>
        <w:pStyle w:val="3"/>
        <w:ind w:firstLine="410"/>
        <w:rPr>
          <w:rFonts w:hint="eastAsia" w:ascii="宋体" w:hAnsi="宋体"/>
        </w:rPr>
      </w:pPr>
      <w:r>
        <w:rPr>
          <w:rFonts w:hint="eastAsia" w:ascii="宋体" w:hAnsi="宋体"/>
        </w:rPr>
        <w:t>分析是否存在针对该事件的特定系统预案，如有，启动相关预案。</w:t>
      </w:r>
    </w:p>
    <w:p w14:paraId="15D2AF1A">
      <w:pPr>
        <w:pStyle w:val="3"/>
        <w:ind w:firstLine="410"/>
        <w:rPr>
          <w:rFonts w:hint="eastAsia" w:ascii="宋体" w:hAnsi="宋体"/>
        </w:rPr>
      </w:pPr>
      <w:r>
        <w:rPr>
          <w:rFonts w:hint="eastAsia" w:ascii="宋体" w:hAnsi="宋体"/>
        </w:rPr>
        <w:t>如果没有针对该事件的系统预案，应根据事件的具体情况，采取抑制措施，抑制事件进一步恶向发展，并根据事件影响，恢复系统运行。</w:t>
      </w:r>
    </w:p>
    <w:p w14:paraId="6F9D66CB">
      <w:pPr>
        <w:pStyle w:val="3"/>
        <w:ind w:firstLine="410"/>
        <w:rPr>
          <w:rFonts w:hint="eastAsia" w:ascii="宋体" w:hAnsi="宋体"/>
        </w:rPr>
      </w:pPr>
      <w:r>
        <w:rPr>
          <w:rFonts w:hint="eastAsia" w:ascii="宋体" w:hAnsi="宋体"/>
        </w:rPr>
        <w:t>二、遏制阶段――及时采取行动，遏制事件恶向发展</w:t>
      </w:r>
    </w:p>
    <w:p w14:paraId="45154FD9">
      <w:pPr>
        <w:pStyle w:val="3"/>
        <w:ind w:firstLine="410"/>
        <w:rPr>
          <w:rFonts w:hint="eastAsia" w:ascii="宋体" w:hAnsi="宋体"/>
        </w:rPr>
      </w:pPr>
      <w:r>
        <w:rPr>
          <w:rFonts w:hint="eastAsia" w:ascii="宋体" w:hAnsi="宋体"/>
        </w:rPr>
        <w:t>抑制事件的影响进一步扩大，限制潜在的损失与破坏，同时要确保封锁方法对各应用业务影响最小。可能的遏制策略一般包括：关闭服务或关闭所有的系统，从网络上隔离相关系统，修改防火墙和路由器的过滤规则，阻断可疑用户得以进入网络的通路等等</w:t>
      </w:r>
    </w:p>
    <w:p w14:paraId="5BA130F4">
      <w:pPr>
        <w:pStyle w:val="3"/>
        <w:ind w:firstLine="410"/>
        <w:rPr>
          <w:rFonts w:hint="eastAsia" w:ascii="宋体" w:hAnsi="宋体"/>
        </w:rPr>
      </w:pPr>
      <w:r>
        <w:rPr>
          <w:rFonts w:hint="eastAsia" w:ascii="宋体" w:hAnsi="宋体"/>
        </w:rPr>
        <w:t>三、根除阶段――彻底解决问题隐患</w:t>
      </w:r>
    </w:p>
    <w:p w14:paraId="2C88B48D">
      <w:pPr>
        <w:pStyle w:val="3"/>
        <w:ind w:firstLine="410"/>
        <w:rPr>
          <w:rFonts w:hint="eastAsia" w:ascii="宋体" w:hAnsi="宋体"/>
        </w:rPr>
      </w:pPr>
      <w:r>
        <w:rPr>
          <w:rFonts w:hint="eastAsia" w:ascii="宋体" w:hAnsi="宋体"/>
        </w:rPr>
        <w:t>在事件被抵制之后，通过对问题原因和行为的分析结果，找出事件根源，明确相应的补救措施并彻底根除。</w:t>
      </w:r>
    </w:p>
    <w:p w14:paraId="5555EEB9">
      <w:pPr>
        <w:pStyle w:val="3"/>
        <w:ind w:firstLine="410"/>
        <w:rPr>
          <w:rFonts w:hint="eastAsia" w:ascii="宋体" w:hAnsi="宋体"/>
        </w:rPr>
      </w:pPr>
      <w:r>
        <w:rPr>
          <w:rFonts w:hint="eastAsia" w:ascii="宋体" w:hAnsi="宋体"/>
        </w:rPr>
        <w:t>四、恢复和跟踪阶段</w:t>
      </w:r>
    </w:p>
    <w:p w14:paraId="66CEFB98">
      <w:pPr>
        <w:pStyle w:val="3"/>
        <w:ind w:firstLine="410"/>
        <w:rPr>
          <w:rFonts w:hint="eastAsia" w:ascii="宋体" w:hAnsi="宋体"/>
        </w:rPr>
      </w:pPr>
      <w:r>
        <w:rPr>
          <w:rFonts w:hint="eastAsia" w:ascii="宋体" w:hAnsi="宋体"/>
        </w:rPr>
        <w:t>在确保安全问题解决后，要及时清理系统、恢复数据、服务。把系统和服务还原到它们正常的业务状态。并关注系统恢复后的安全状况，特别是曾经出过问题的地方。</w:t>
      </w:r>
    </w:p>
    <w:p w14:paraId="364615C0">
      <w:pPr>
        <w:pStyle w:val="3"/>
        <w:ind w:firstLine="410"/>
        <w:rPr>
          <w:rFonts w:eastAsia="等线"/>
        </w:rPr>
      </w:pPr>
      <w:r>
        <w:rPr>
          <w:rFonts w:hint="eastAsia" w:ascii="宋体" w:hAnsi="宋体"/>
        </w:rPr>
        <w:t>应急响应具体流程请见下图：</w:t>
      </w:r>
    </w:p>
    <w:p w14:paraId="62367FAE">
      <w:pPr>
        <w:pStyle w:val="3"/>
        <w:ind w:firstLine="410"/>
        <w:rPr>
          <w:rFonts w:eastAsia="等线"/>
        </w:rPr>
      </w:pPr>
      <w:r>
        <w:rPr>
          <w:rFonts w:hint="eastAsia" w:eastAsia="等线"/>
        </w:rPr>
        <w:t xml:space="preserve"> </w:t>
      </w:r>
    </w:p>
    <w:p w14:paraId="39117838">
      <w:pPr>
        <w:spacing w:line="360" w:lineRule="auto"/>
        <w:ind w:left="569"/>
        <w:jc w:val="center"/>
        <w:rPr>
          <w:rFonts w:ascii="Calibri" w:hAnsi="Calibri" w:eastAsia="等线" w:cs="Calibri"/>
        </w:rPr>
      </w:pPr>
      <w:r>
        <w:drawing>
          <wp:inline distT="0" distB="0" distL="114300" distR="114300">
            <wp:extent cx="2743200" cy="3852545"/>
            <wp:effectExtent l="0" t="0" r="0" b="317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2743200" cy="3852545"/>
                    </a:xfrm>
                    <a:prstGeom prst="rect">
                      <a:avLst/>
                    </a:prstGeom>
                    <a:noFill/>
                    <a:ln>
                      <a:noFill/>
                    </a:ln>
                  </pic:spPr>
                </pic:pic>
              </a:graphicData>
            </a:graphic>
          </wp:inline>
        </w:drawing>
      </w:r>
      <w:r>
        <w:rPr>
          <w:rFonts w:hint="eastAsia" w:ascii="Calibri" w:hAnsi="Calibri" w:eastAsia="等线" w:cs="Calibri"/>
        </w:rPr>
        <w:t xml:space="preserve"> </w:t>
      </w:r>
    </w:p>
    <w:p w14:paraId="1B60EBFF">
      <w:pPr>
        <w:spacing w:line="360" w:lineRule="auto"/>
        <w:ind w:left="569"/>
        <w:rPr>
          <w:rFonts w:ascii="Calibri" w:hAnsi="Calibri" w:eastAsia="等线" w:cs="Calibri"/>
        </w:rPr>
      </w:pPr>
      <w:r>
        <w:rPr>
          <w:rFonts w:hint="eastAsia" w:ascii="Calibri" w:hAnsi="Calibri" w:eastAsia="等线" w:cs="Calibri"/>
        </w:rPr>
        <w:t xml:space="preserve"> </w:t>
      </w:r>
    </w:p>
    <w:p w14:paraId="19515E91">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安全事件的处理记录</w:t>
      </w:r>
    </w:p>
    <w:p w14:paraId="4887333F">
      <w:pPr>
        <w:pStyle w:val="3"/>
        <w:ind w:firstLine="410"/>
        <w:rPr>
          <w:rFonts w:hint="eastAsia" w:ascii="宋体" w:hAnsi="宋体"/>
        </w:rPr>
      </w:pPr>
      <w:r>
        <w:rPr>
          <w:rFonts w:hint="eastAsia" w:ascii="宋体" w:hAnsi="宋体"/>
        </w:rPr>
        <w:t>在事件的上报、接收和处理过程中，处理人应及时做好完整的过程记录。</w:t>
      </w:r>
    </w:p>
    <w:p w14:paraId="3835A215">
      <w:pPr>
        <w:numPr>
          <w:ilvl w:val="0"/>
          <w:numId w:val="11"/>
        </w:numPr>
        <w:spacing w:line="360" w:lineRule="auto"/>
        <w:ind w:left="855" w:leftChars="407"/>
        <w:contextualSpacing/>
        <w:rPr>
          <w:rFonts w:hint="eastAsia" w:ascii="宋体" w:hAnsi="宋体" w:cs="宋体"/>
          <w:sz w:val="24"/>
          <w:szCs w:val="24"/>
          <w:shd w:val="clear" w:color="auto" w:fill="FFFFFF"/>
        </w:rPr>
      </w:pPr>
      <w:r>
        <w:rPr>
          <w:rFonts w:hint="eastAsia" w:ascii="宋体" w:hAnsi="宋体" w:cs="宋体"/>
          <w:sz w:val="24"/>
          <w:szCs w:val="24"/>
          <w:shd w:val="clear" w:color="auto" w:fill="FFFFFF"/>
        </w:rPr>
        <w:t>结束响应</w:t>
      </w:r>
    </w:p>
    <w:p w14:paraId="18BD3B25">
      <w:pPr>
        <w:pStyle w:val="3"/>
        <w:ind w:firstLine="410"/>
        <w:rPr>
          <w:rFonts w:hint="eastAsia" w:ascii="宋体" w:hAnsi="宋体"/>
        </w:rPr>
      </w:pPr>
      <w:r>
        <w:rPr>
          <w:rFonts w:hint="eastAsia" w:ascii="宋体" w:hAnsi="宋体"/>
        </w:rPr>
        <w:t>系统恢复运行后，应急工作执行小组对事件处理流程和应急预案进行评估，对响应流程、预案提出修改意见，总结事件处理经验和教训，撰写事件处理报告。内容应包含故障现象、出现原因、解决方法、处理结果、可否预防以及预防措施，报送应急工作领导小组。</w:t>
      </w:r>
    </w:p>
    <w:p w14:paraId="5DA984CE">
      <w:pPr>
        <w:pStyle w:val="2"/>
        <w:rPr>
          <w:rFonts w:hint="eastAsia"/>
        </w:rPr>
      </w:pPr>
      <w:r>
        <w:rPr>
          <w:rFonts w:hint="eastAsia"/>
        </w:rPr>
        <w:t>服务标准</w:t>
      </w:r>
    </w:p>
    <w:p w14:paraId="1CDD2CA4">
      <w:pPr>
        <w:pStyle w:val="3"/>
        <w:ind w:firstLine="410"/>
        <w:rPr>
          <w:rFonts w:hint="eastAsia" w:ascii="宋体" w:hAnsi="宋体"/>
        </w:rPr>
      </w:pPr>
      <w:r>
        <w:rPr>
          <w:rFonts w:hint="eastAsia" w:ascii="宋体" w:hAnsi="宋体"/>
        </w:rPr>
        <w:t>根据医院设备使用情况，上海CA提供一年技术服务的级别以对应相应要求，服务级别</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2268"/>
        <w:gridCol w:w="3056"/>
      </w:tblGrid>
      <w:tr w14:paraId="2240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noWrap w:val="0"/>
            <w:vAlign w:val="top"/>
          </w:tcPr>
          <w:p w14:paraId="0F61D06A">
            <w:pPr>
              <w:pStyle w:val="3"/>
              <w:ind w:firstLine="0" w:firstLineChars="0"/>
              <w:rPr>
                <w:rFonts w:hint="eastAsia" w:ascii="宋体" w:hAnsi="宋体"/>
              </w:rPr>
            </w:pPr>
            <w:r>
              <w:rPr>
                <w:rFonts w:hint="eastAsia" w:ascii="宋体" w:hAnsi="宋体"/>
              </w:rPr>
              <w:t>服务项目</w:t>
            </w:r>
          </w:p>
        </w:tc>
        <w:tc>
          <w:tcPr>
            <w:tcW w:w="1559" w:type="dxa"/>
            <w:shd w:val="clear" w:color="auto" w:fill="auto"/>
            <w:noWrap w:val="0"/>
            <w:vAlign w:val="top"/>
          </w:tcPr>
          <w:p w14:paraId="0D822E8A">
            <w:pPr>
              <w:pStyle w:val="3"/>
              <w:ind w:firstLine="0" w:firstLineChars="0"/>
              <w:rPr>
                <w:rFonts w:hint="eastAsia" w:ascii="宋体" w:hAnsi="宋体"/>
              </w:rPr>
            </w:pPr>
            <w:r>
              <w:rPr>
                <w:rFonts w:hint="eastAsia" w:ascii="宋体" w:hAnsi="宋体"/>
              </w:rPr>
              <w:t>关键控制点</w:t>
            </w:r>
          </w:p>
        </w:tc>
        <w:tc>
          <w:tcPr>
            <w:tcW w:w="2268" w:type="dxa"/>
            <w:shd w:val="clear" w:color="auto" w:fill="auto"/>
            <w:noWrap w:val="0"/>
            <w:vAlign w:val="top"/>
          </w:tcPr>
          <w:p w14:paraId="752F24A2">
            <w:pPr>
              <w:pStyle w:val="3"/>
              <w:ind w:firstLine="0" w:firstLineChars="0"/>
              <w:rPr>
                <w:rFonts w:hint="eastAsia" w:ascii="宋体" w:hAnsi="宋体"/>
              </w:rPr>
            </w:pPr>
            <w:r>
              <w:rPr>
                <w:rFonts w:hint="eastAsia" w:ascii="宋体" w:hAnsi="宋体"/>
              </w:rPr>
              <w:t>衡量内容</w:t>
            </w:r>
          </w:p>
        </w:tc>
        <w:tc>
          <w:tcPr>
            <w:tcW w:w="3056" w:type="dxa"/>
            <w:shd w:val="clear" w:color="auto" w:fill="auto"/>
            <w:noWrap w:val="0"/>
            <w:vAlign w:val="top"/>
          </w:tcPr>
          <w:p w14:paraId="0C150925">
            <w:pPr>
              <w:pStyle w:val="3"/>
              <w:ind w:firstLine="0" w:firstLineChars="0"/>
              <w:rPr>
                <w:rFonts w:hint="eastAsia" w:ascii="宋体" w:hAnsi="宋体"/>
              </w:rPr>
            </w:pPr>
            <w:r>
              <w:rPr>
                <w:rFonts w:hint="eastAsia" w:ascii="宋体" w:hAnsi="宋体"/>
              </w:rPr>
              <w:t>目标</w:t>
            </w:r>
          </w:p>
        </w:tc>
      </w:tr>
      <w:tr w14:paraId="614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shd w:val="clear" w:color="auto" w:fill="auto"/>
            <w:noWrap w:val="0"/>
            <w:vAlign w:val="center"/>
          </w:tcPr>
          <w:p w14:paraId="48717203">
            <w:pPr>
              <w:pStyle w:val="3"/>
              <w:ind w:firstLine="0" w:firstLineChars="0"/>
              <w:rPr>
                <w:rFonts w:hint="eastAsia" w:ascii="宋体" w:hAnsi="宋体"/>
              </w:rPr>
            </w:pPr>
            <w:r>
              <w:rPr>
                <w:rFonts w:hint="eastAsia" w:ascii="宋体" w:hAnsi="宋体"/>
              </w:rPr>
              <w:t>现场服务</w:t>
            </w:r>
          </w:p>
        </w:tc>
        <w:tc>
          <w:tcPr>
            <w:tcW w:w="1559" w:type="dxa"/>
            <w:vMerge w:val="restart"/>
            <w:shd w:val="clear" w:color="auto" w:fill="auto"/>
            <w:noWrap w:val="0"/>
            <w:vAlign w:val="center"/>
          </w:tcPr>
          <w:p w14:paraId="303E7840">
            <w:pPr>
              <w:pStyle w:val="3"/>
              <w:ind w:firstLine="0" w:firstLineChars="0"/>
              <w:rPr>
                <w:rFonts w:hint="eastAsia" w:ascii="宋体" w:hAnsi="宋体"/>
              </w:rPr>
            </w:pPr>
            <w:r>
              <w:rPr>
                <w:rFonts w:hint="eastAsia" w:ascii="宋体" w:hAnsi="宋体"/>
              </w:rPr>
              <w:t>现场响应能力</w:t>
            </w:r>
          </w:p>
        </w:tc>
        <w:tc>
          <w:tcPr>
            <w:tcW w:w="2268" w:type="dxa"/>
            <w:shd w:val="clear" w:color="auto" w:fill="auto"/>
            <w:noWrap w:val="0"/>
            <w:vAlign w:val="center"/>
          </w:tcPr>
          <w:p w14:paraId="62BE9C7F">
            <w:pPr>
              <w:pStyle w:val="3"/>
              <w:ind w:firstLine="410"/>
              <w:rPr>
                <w:rFonts w:hint="eastAsia" w:ascii="宋体" w:hAnsi="宋体"/>
              </w:rPr>
            </w:pPr>
            <w:r>
              <w:rPr>
                <w:rFonts w:hint="eastAsia" w:ascii="宋体" w:hAnsi="宋体"/>
              </w:rPr>
              <w:t>工作时间</w:t>
            </w:r>
          </w:p>
        </w:tc>
        <w:tc>
          <w:tcPr>
            <w:tcW w:w="3056" w:type="dxa"/>
            <w:shd w:val="clear" w:color="auto" w:fill="auto"/>
            <w:noWrap w:val="0"/>
            <w:vAlign w:val="top"/>
          </w:tcPr>
          <w:p w14:paraId="4148F288">
            <w:pPr>
              <w:pStyle w:val="3"/>
              <w:ind w:firstLine="0" w:firstLineChars="0"/>
              <w:rPr>
                <w:rFonts w:hint="eastAsia" w:ascii="宋体" w:hAnsi="宋体"/>
              </w:rPr>
            </w:pPr>
            <w:r>
              <w:rPr>
                <w:rFonts w:hint="eastAsia" w:ascii="宋体" w:hAnsi="宋体"/>
              </w:rPr>
              <w:t>现场：</w:t>
            </w:r>
            <w:r>
              <w:rPr>
                <w:rFonts w:ascii="Times New Roman" w:hAnsi="Times New Roman" w:cs="Times New Roman"/>
              </w:rPr>
              <w:t>5*9</w:t>
            </w:r>
          </w:p>
        </w:tc>
      </w:tr>
      <w:tr w14:paraId="393F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shd w:val="clear" w:color="auto" w:fill="auto"/>
            <w:noWrap w:val="0"/>
            <w:vAlign w:val="top"/>
          </w:tcPr>
          <w:p w14:paraId="3EB48597">
            <w:pPr>
              <w:pStyle w:val="3"/>
              <w:ind w:firstLine="0" w:firstLineChars="0"/>
              <w:rPr>
                <w:rFonts w:hint="eastAsia" w:ascii="宋体" w:hAnsi="宋体"/>
              </w:rPr>
            </w:pPr>
          </w:p>
        </w:tc>
        <w:tc>
          <w:tcPr>
            <w:tcW w:w="1559" w:type="dxa"/>
            <w:vMerge w:val="continue"/>
            <w:shd w:val="clear" w:color="auto" w:fill="auto"/>
            <w:noWrap w:val="0"/>
            <w:vAlign w:val="center"/>
          </w:tcPr>
          <w:p w14:paraId="373B3380">
            <w:pPr>
              <w:pStyle w:val="3"/>
              <w:ind w:firstLine="0" w:firstLineChars="0"/>
              <w:rPr>
                <w:rFonts w:hint="eastAsia" w:ascii="宋体" w:hAnsi="宋体"/>
              </w:rPr>
            </w:pPr>
          </w:p>
        </w:tc>
        <w:tc>
          <w:tcPr>
            <w:tcW w:w="2268" w:type="dxa"/>
            <w:shd w:val="clear" w:color="auto" w:fill="auto"/>
            <w:noWrap w:val="0"/>
            <w:vAlign w:val="center"/>
          </w:tcPr>
          <w:p w14:paraId="0AA29A3A">
            <w:pPr>
              <w:pStyle w:val="3"/>
              <w:ind w:firstLine="0" w:firstLineChars="0"/>
              <w:rPr>
                <w:rFonts w:hint="eastAsia" w:ascii="宋体" w:hAnsi="宋体"/>
              </w:rPr>
            </w:pPr>
            <w:r>
              <w:rPr>
                <w:rFonts w:hint="eastAsia" w:ascii="宋体" w:hAnsi="宋体"/>
              </w:rPr>
              <w:t>电话响应时间</w:t>
            </w:r>
          </w:p>
        </w:tc>
        <w:tc>
          <w:tcPr>
            <w:tcW w:w="3056" w:type="dxa"/>
            <w:shd w:val="clear" w:color="auto" w:fill="auto"/>
            <w:noWrap w:val="0"/>
            <w:vAlign w:val="top"/>
          </w:tcPr>
          <w:p w14:paraId="102CD0B7">
            <w:pPr>
              <w:pStyle w:val="3"/>
              <w:ind w:firstLine="0" w:firstLineChars="0"/>
              <w:rPr>
                <w:rFonts w:hint="eastAsia" w:ascii="宋体" w:hAnsi="宋体"/>
              </w:rPr>
            </w:pPr>
            <w:r>
              <w:rPr>
                <w:rFonts w:ascii="Times New Roman" w:hAnsi="Times New Roman" w:cs="Times New Roman"/>
              </w:rPr>
              <w:t>&lt;=30</w:t>
            </w:r>
            <w:r>
              <w:rPr>
                <w:rFonts w:hint="eastAsia" w:ascii="宋体" w:hAnsi="宋体"/>
              </w:rPr>
              <w:t>分钟</w:t>
            </w:r>
          </w:p>
        </w:tc>
      </w:tr>
      <w:tr w14:paraId="0470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shd w:val="clear" w:color="auto" w:fill="auto"/>
            <w:noWrap w:val="0"/>
            <w:vAlign w:val="top"/>
          </w:tcPr>
          <w:p w14:paraId="690D00D5">
            <w:pPr>
              <w:pStyle w:val="3"/>
              <w:ind w:firstLine="0" w:firstLineChars="0"/>
              <w:rPr>
                <w:rFonts w:hint="eastAsia" w:ascii="宋体" w:hAnsi="宋体"/>
              </w:rPr>
            </w:pPr>
          </w:p>
        </w:tc>
        <w:tc>
          <w:tcPr>
            <w:tcW w:w="1559" w:type="dxa"/>
            <w:vMerge w:val="continue"/>
            <w:shd w:val="clear" w:color="auto" w:fill="auto"/>
            <w:noWrap w:val="0"/>
            <w:vAlign w:val="center"/>
          </w:tcPr>
          <w:p w14:paraId="1AA32D07">
            <w:pPr>
              <w:pStyle w:val="3"/>
              <w:ind w:firstLine="0" w:firstLineChars="0"/>
              <w:rPr>
                <w:rFonts w:hint="eastAsia" w:ascii="宋体" w:hAnsi="宋体"/>
              </w:rPr>
            </w:pPr>
          </w:p>
        </w:tc>
        <w:tc>
          <w:tcPr>
            <w:tcW w:w="2268" w:type="dxa"/>
            <w:shd w:val="clear" w:color="auto" w:fill="auto"/>
            <w:noWrap w:val="0"/>
            <w:vAlign w:val="center"/>
          </w:tcPr>
          <w:p w14:paraId="7AF834F8">
            <w:pPr>
              <w:pStyle w:val="3"/>
              <w:ind w:firstLine="0" w:firstLineChars="0"/>
              <w:rPr>
                <w:rFonts w:hint="eastAsia" w:ascii="宋体" w:hAnsi="宋体"/>
              </w:rPr>
            </w:pPr>
            <w:r>
              <w:rPr>
                <w:rFonts w:hint="eastAsia" w:ascii="宋体" w:hAnsi="宋体"/>
              </w:rPr>
              <w:t>到达用户现场时间</w:t>
            </w:r>
          </w:p>
        </w:tc>
        <w:tc>
          <w:tcPr>
            <w:tcW w:w="3056" w:type="dxa"/>
            <w:shd w:val="clear" w:color="auto" w:fill="auto"/>
            <w:noWrap w:val="0"/>
            <w:vAlign w:val="top"/>
          </w:tcPr>
          <w:p w14:paraId="3E009A2C">
            <w:pPr>
              <w:pStyle w:val="3"/>
              <w:ind w:firstLine="0" w:firstLineChars="0"/>
              <w:rPr>
                <w:rFonts w:hint="eastAsia" w:ascii="宋体" w:hAnsi="宋体"/>
              </w:rPr>
            </w:pPr>
            <w:r>
              <w:rPr>
                <w:rFonts w:ascii="Times New Roman" w:hAnsi="Times New Roman" w:cs="Times New Roman"/>
              </w:rPr>
              <w:t>&lt;=4</w:t>
            </w:r>
            <w:r>
              <w:rPr>
                <w:rFonts w:hint="eastAsia" w:ascii="宋体" w:hAnsi="宋体"/>
              </w:rPr>
              <w:t>小时</w:t>
            </w:r>
          </w:p>
        </w:tc>
      </w:tr>
    </w:tbl>
    <w:p w14:paraId="73D0BAFF">
      <w:pPr>
        <w:pStyle w:val="3"/>
        <w:ind w:firstLine="410"/>
        <w:rPr>
          <w:rFonts w:hint="eastAsia" w:ascii="宋体" w:hAnsi="宋体"/>
        </w:rPr>
      </w:pPr>
      <w:r>
        <w:rPr>
          <w:rFonts w:hint="eastAsia" w:ascii="宋体" w:hAnsi="宋体"/>
        </w:rPr>
        <w:t>特别说明：</w:t>
      </w:r>
    </w:p>
    <w:p w14:paraId="68C93DC1">
      <w:pPr>
        <w:pStyle w:val="3"/>
        <w:numPr>
          <w:ilvl w:val="0"/>
          <w:numId w:val="12"/>
        </w:numPr>
        <w:ind w:firstLineChars="0"/>
        <w:rPr>
          <w:rFonts w:hint="eastAsia" w:ascii="宋体" w:hAnsi="宋体"/>
        </w:rPr>
      </w:pPr>
      <w:r>
        <w:rPr>
          <w:rFonts w:hint="eastAsia" w:ascii="宋体" w:hAnsi="宋体"/>
        </w:rPr>
        <w:t>现场服务</w:t>
      </w:r>
    </w:p>
    <w:p w14:paraId="0B7030DB">
      <w:pPr>
        <w:pStyle w:val="3"/>
        <w:ind w:firstLine="410"/>
        <w:rPr>
          <w:rFonts w:hint="eastAsia" w:ascii="宋体" w:hAnsi="宋体"/>
        </w:rPr>
      </w:pPr>
      <w:r>
        <w:rPr>
          <w:rFonts w:hint="eastAsia" w:ascii="宋体" w:hAnsi="宋体"/>
        </w:rPr>
        <w:t>通过电话不能解决的软硬件问题都将派单到客户现场由工程师现场解决。</w:t>
      </w:r>
    </w:p>
    <w:p w14:paraId="2D189CF2">
      <w:pPr>
        <w:pStyle w:val="3"/>
        <w:numPr>
          <w:ilvl w:val="0"/>
          <w:numId w:val="12"/>
        </w:numPr>
        <w:ind w:firstLineChars="0"/>
        <w:rPr>
          <w:rFonts w:hint="eastAsia" w:ascii="宋体" w:hAnsi="宋体"/>
        </w:rPr>
      </w:pPr>
      <w:r>
        <w:rPr>
          <w:rFonts w:hint="eastAsia" w:ascii="宋体" w:hAnsi="宋体"/>
        </w:rPr>
        <w:t>现场响应时间</w:t>
      </w:r>
    </w:p>
    <w:p w14:paraId="75CD6750">
      <w:pPr>
        <w:spacing w:line="360" w:lineRule="auto"/>
        <w:ind w:firstLine="480" w:firstLineChars="200"/>
        <w:rPr>
          <w:rFonts w:hint="default" w:ascii="宋体" w:hAnsi="宋体" w:cs="宋体"/>
          <w:b/>
          <w:bCs/>
          <w:kern w:val="0"/>
          <w:sz w:val="24"/>
          <w:lang w:val="en-US" w:eastAsia="zh-CN"/>
        </w:rPr>
      </w:pPr>
      <w:r>
        <w:rPr>
          <w:rFonts w:hint="eastAsia" w:ascii="宋体" w:hAnsi="宋体" w:cs="宋体"/>
          <w:sz w:val="24"/>
          <w:szCs w:val="24"/>
        </w:rPr>
        <w:t>从现场工程师接到驻场通知至工程师到达现场。</w:t>
      </w:r>
    </w:p>
    <w:p w14:paraId="38C9956D">
      <w:pPr>
        <w:pStyle w:val="4"/>
        <w:numPr>
          <w:ilvl w:val="0"/>
          <w:numId w:val="13"/>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平台调用接口开发</w:t>
      </w:r>
      <w:r>
        <w:rPr>
          <w:rFonts w:hint="eastAsia" w:asciiTheme="majorEastAsia" w:hAnsiTheme="majorEastAsia" w:eastAsiaTheme="majorEastAsia" w:cstheme="majorEastAsia"/>
          <w:szCs w:val="21"/>
        </w:rPr>
        <w:tab/>
      </w:r>
    </w:p>
    <w:p w14:paraId="1DA429B7">
      <w:pPr>
        <w:pStyle w:val="4"/>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支持调用申康中心HI-CLIP2.0平台数据库相关数据。</w:t>
      </w:r>
    </w:p>
    <w:p w14:paraId="1D60B388">
      <w:pPr>
        <w:pStyle w:val="4"/>
        <w:numPr>
          <w:ilvl w:val="0"/>
          <w:numId w:val="13"/>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伦理状态信息回传</w:t>
      </w:r>
      <w:r>
        <w:rPr>
          <w:rFonts w:hint="eastAsia" w:asciiTheme="majorEastAsia" w:hAnsiTheme="majorEastAsia" w:eastAsiaTheme="majorEastAsia" w:cstheme="majorEastAsia"/>
          <w:szCs w:val="21"/>
        </w:rPr>
        <w:tab/>
      </w:r>
    </w:p>
    <w:p w14:paraId="5020BDAD">
      <w:pPr>
        <w:pStyle w:val="4"/>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当临床试验项目在市级医院完成立项和伦理审查流程后，支持通过调用该接口将立项时间、伦理受理时间、伦理审查时间、伦理审查结果时间、伦理审查结果文件回传至HI-CLIP2.0平台。</w:t>
      </w:r>
    </w:p>
    <w:p w14:paraId="669ECEF8">
      <w:pPr>
        <w:pStyle w:val="4"/>
        <w:numPr>
          <w:ilvl w:val="0"/>
          <w:numId w:val="13"/>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系统基本信息改造</w:t>
      </w:r>
      <w:r>
        <w:rPr>
          <w:rFonts w:hint="eastAsia" w:asciiTheme="majorEastAsia" w:hAnsiTheme="majorEastAsia" w:eastAsiaTheme="majorEastAsia" w:cstheme="majorEastAsia"/>
          <w:szCs w:val="21"/>
        </w:rPr>
        <w:tab/>
      </w:r>
    </w:p>
    <w:p w14:paraId="078542A7">
      <w:pPr>
        <w:pStyle w:val="4"/>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对系统进行改造，支持接收申康中心HI-CLIP2.0平台推送过来的项目信息。</w:t>
      </w:r>
    </w:p>
    <w:p w14:paraId="5F730A9F">
      <w:pPr>
        <w:pStyle w:val="4"/>
        <w:numPr>
          <w:ilvl w:val="0"/>
          <w:numId w:val="13"/>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系统送审文件改造</w:t>
      </w:r>
      <w:r>
        <w:rPr>
          <w:rFonts w:hint="eastAsia" w:asciiTheme="majorEastAsia" w:hAnsiTheme="majorEastAsia" w:eastAsiaTheme="majorEastAsia" w:cstheme="majorEastAsia"/>
          <w:szCs w:val="21"/>
        </w:rPr>
        <w:tab/>
      </w:r>
    </w:p>
    <w:p w14:paraId="2DC7D534">
      <w:pPr>
        <w:pStyle w:val="4"/>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对系统进行改造，支持接收申康中心HI-CLIP2.0平台送审文件。</w:t>
      </w:r>
    </w:p>
    <w:p w14:paraId="769DE402">
      <w:pPr>
        <w:pStyle w:val="4"/>
        <w:numPr>
          <w:ilvl w:val="0"/>
          <w:numId w:val="13"/>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接口说明：</w:t>
      </w:r>
    </w:p>
    <w:p w14:paraId="696D9327">
      <w:pPr>
        <w:numPr>
          <w:ilvl w:val="0"/>
          <w:numId w:val="14"/>
        </w:numP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试验项目基本信息获取接口</w:t>
      </w:r>
    </w:p>
    <w:p w14:paraId="2FF9A7CE">
      <w:pPr>
        <w:pStyle w:val="4"/>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系统提供企业在HI-CLIP2.0上填报的该院参与的临床试验项目伦理审查信息和过程类数据。通过调用该接口从申康中心HI-CLIP2.0平台获取与请求项目编号对应的临床试验项目基本信息、项目审查材料文件、参加项目的系统名单、GCP机构和伦理委员会各审查环节进度等数据，按需接入院内CTMS或OA等系统，衔接项目审批、立项、审查等业内业务流程。可通过参数“试验方案编号（protocol_num）”或“项目编号（demand_num）”作为HI-CLIP2.0与院内系统中临床试验项目匹配关联的识别码。</w:t>
      </w:r>
    </w:p>
    <w:p w14:paraId="53458E59">
      <w:pPr>
        <w:pStyle w:val="4"/>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当临床试验项目在院内完成伦理审查并获得批件后，医院可通过下一章的接口将各流程节点时间和审查结果回传至HI-CLIP2.0平台。</w:t>
      </w:r>
    </w:p>
    <w:p w14:paraId="0660259B">
      <w:r>
        <w:rPr>
          <w:rFonts w:hint="eastAsia" w:asciiTheme="majorEastAsia" w:hAnsiTheme="majorEastAsia" w:eastAsiaTheme="majorEastAsia" w:cstheme="majorEastAsia"/>
          <w:sz w:val="24"/>
          <w:szCs w:val="32"/>
        </w:rPr>
        <w:t>（2）</w:t>
      </w:r>
      <w:r>
        <w:rPr>
          <w:rFonts w:asciiTheme="majorEastAsia" w:hAnsiTheme="majorEastAsia" w:eastAsiaTheme="majorEastAsia" w:cstheme="majorEastAsia"/>
          <w:sz w:val="24"/>
          <w:szCs w:val="32"/>
        </w:rPr>
        <w:t>数据回传接口</w:t>
      </w:r>
    </w:p>
    <w:p w14:paraId="2C544C47">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HI-CLIP2.0接收院内系统通过前一章接口获取临床试验项目的流程节点时间和审查结果类数据。当临床试验项目在院内系统完成立项和伦理审查流程后，系统通过调用该接口将立项时间、伦理受理时间、伦理审查时间、伦理审查结果时间、伦理审查结果文件回传至HI-CLIP2.0平台，补全对应项目在HI-CLIP2.0完整的数据信息。院内系统可通过参数“试验方案编号（protocol_num）”和“项目编号（demand_num）”作为HI-CLIP2.0与院内系统中临床试验项目匹配关联的识别码。</w:t>
      </w:r>
    </w:p>
    <w:p w14:paraId="2C544C48">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当临床试验项目在院内完成伦理审查后，应及时将相关数据回传至HI-CLIP2.0平台，避免影响与项目其他参加单位的结果互认。</w:t>
      </w:r>
    </w:p>
    <w:p w14:paraId="5B6F669B">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若HI-CLIP2.0平台接收到院内系统同一个项目的多次数据回传记录，将以最新一次的记录为准，覆盖之前的历史数据。</w:t>
      </w:r>
    </w:p>
    <w:p w14:paraId="3FBB9E6A">
      <w:pPr>
        <w:rPr>
          <w:rFonts w:ascii="华文仿宋" w:hAnsi="华文仿宋" w:cs="华文仿宋"/>
        </w:rPr>
      </w:pPr>
      <w:r>
        <w:rPr>
          <w:rFonts w:hint="eastAsia" w:ascii="华文仿宋" w:hAnsi="华文仿宋" w:cs="华文仿宋"/>
        </w:rPr>
        <w:br w:type="page"/>
      </w:r>
    </w:p>
    <w:p w14:paraId="28FD99CA">
      <w:pPr>
        <w:pStyle w:val="32"/>
        <w:numPr>
          <w:ilvl w:val="0"/>
          <w:numId w:val="15"/>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6"/>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6"/>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6"/>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6"/>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6"/>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6"/>
        </w:numPr>
        <w:spacing w:line="360" w:lineRule="auto"/>
        <w:rPr>
          <w:rFonts w:ascii="宋体" w:hAnsi="宋体"/>
          <w:sz w:val="28"/>
          <w:szCs w:val="28"/>
        </w:rPr>
      </w:pPr>
      <w:r>
        <w:rPr>
          <w:rFonts w:hint="eastAsia" w:ascii="宋体" w:hAnsi="宋体"/>
          <w:sz w:val="28"/>
          <w:szCs w:val="28"/>
        </w:rPr>
        <w:t>服务方案</w:t>
      </w:r>
    </w:p>
    <w:p w14:paraId="2F007E07">
      <w:pPr>
        <w:numPr>
          <w:ilvl w:val="1"/>
          <w:numId w:val="16"/>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6"/>
        </w:numPr>
        <w:spacing w:line="360" w:lineRule="auto"/>
        <w:rPr>
          <w:rFonts w:ascii="宋体" w:hAnsi="宋体"/>
          <w:sz w:val="28"/>
          <w:szCs w:val="28"/>
        </w:rPr>
      </w:pPr>
      <w:r>
        <w:rPr>
          <w:rFonts w:hint="eastAsia" w:ascii="宋体" w:hAnsi="宋体"/>
          <w:sz w:val="28"/>
          <w:szCs w:val="28"/>
        </w:rPr>
        <w:t>用户名单</w:t>
      </w:r>
    </w:p>
    <w:p w14:paraId="5BAB0C55">
      <w:pPr>
        <w:numPr>
          <w:ilvl w:val="1"/>
          <w:numId w:val="16"/>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2"/>
        <w:jc w:val="both"/>
        <w:rPr>
          <w:rFonts w:ascii="华文仿宋" w:hAnsi="华文仿宋" w:cs="华文仿宋"/>
        </w:rPr>
      </w:pPr>
    </w:p>
    <w:p w14:paraId="3ECFA5CD">
      <w:pPr>
        <w:pStyle w:val="18"/>
        <w:rPr>
          <w:rFonts w:ascii="华文仿宋" w:hAnsi="华文仿宋" w:eastAsia="华文仿宋"/>
          <w:sz w:val="60"/>
          <w:szCs w:val="60"/>
        </w:rPr>
      </w:pPr>
    </w:p>
    <w:p w14:paraId="7A9DA9F0">
      <w:pPr>
        <w:pStyle w:val="18"/>
        <w:rPr>
          <w:rFonts w:ascii="华文仿宋" w:hAnsi="华文仿宋" w:eastAsia="华文仿宋"/>
          <w:sz w:val="60"/>
          <w:szCs w:val="60"/>
        </w:rPr>
      </w:pPr>
    </w:p>
    <w:p w14:paraId="226575BD">
      <w:pPr>
        <w:pStyle w:val="18"/>
        <w:rPr>
          <w:rFonts w:ascii="华文仿宋" w:hAnsi="华文仿宋" w:eastAsia="华文仿宋"/>
          <w:sz w:val="60"/>
          <w:szCs w:val="60"/>
        </w:rPr>
      </w:pPr>
    </w:p>
    <w:p w14:paraId="453371D2">
      <w:pPr>
        <w:pStyle w:val="18"/>
        <w:rPr>
          <w:rFonts w:ascii="华文仿宋" w:hAnsi="华文仿宋" w:eastAsia="华文仿宋"/>
          <w:sz w:val="60"/>
          <w:szCs w:val="60"/>
        </w:rPr>
      </w:pPr>
    </w:p>
    <w:p w14:paraId="365B5F18">
      <w:pPr>
        <w:pStyle w:val="18"/>
        <w:rPr>
          <w:rFonts w:ascii="华文仿宋" w:hAnsi="华文仿宋" w:eastAsia="华文仿宋"/>
          <w:sz w:val="60"/>
          <w:szCs w:val="60"/>
        </w:rPr>
      </w:pPr>
    </w:p>
    <w:p w14:paraId="05A19F25">
      <w:pPr>
        <w:pStyle w:val="18"/>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0"/>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10"/>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8"/>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0"/>
        <w:ind w:firstLine="420"/>
        <w:rPr>
          <w:rFonts w:ascii="宋体" w:hAnsi="宋体" w:cs="宋体"/>
          <w:spacing w:val="8"/>
          <w:sz w:val="24"/>
        </w:rPr>
      </w:pPr>
    </w:p>
    <w:p w14:paraId="28E82270">
      <w:pPr>
        <w:pStyle w:val="10"/>
        <w:ind w:firstLine="420"/>
        <w:rPr>
          <w:rFonts w:ascii="宋体" w:hAnsi="宋体" w:cs="宋体"/>
          <w:spacing w:val="8"/>
          <w:sz w:val="24"/>
        </w:rPr>
      </w:pPr>
      <w:r>
        <w:rPr>
          <w:rFonts w:hint="eastAsia" w:ascii="宋体" w:hAnsi="宋体" w:cs="宋体"/>
          <w:spacing w:val="8"/>
          <w:sz w:val="24"/>
        </w:rPr>
        <w:t>报价明细：</w:t>
      </w:r>
    </w:p>
    <w:p w14:paraId="563DD91E">
      <w:pPr>
        <w:pStyle w:val="10"/>
        <w:ind w:firstLine="420"/>
        <w:rPr>
          <w:rFonts w:ascii="宋体" w:hAnsi="宋体" w:cs="宋体"/>
          <w:spacing w:val="8"/>
          <w:sz w:val="24"/>
        </w:rPr>
      </w:pPr>
    </w:p>
    <w:tbl>
      <w:tblPr>
        <w:tblStyle w:val="24"/>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2"/>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2"/>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2"/>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2"/>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2"/>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2"/>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2"/>
              <w:ind w:left="0" w:firstLine="0"/>
              <w:jc w:val="center"/>
              <w:rPr>
                <w:rFonts w:cs="宋体"/>
                <w:shd w:val="clear" w:color="auto" w:fill="auto"/>
              </w:rPr>
            </w:pPr>
          </w:p>
        </w:tc>
        <w:tc>
          <w:tcPr>
            <w:tcW w:w="2579" w:type="dxa"/>
            <w:vAlign w:val="center"/>
          </w:tcPr>
          <w:p w14:paraId="2B5F787C">
            <w:pPr>
              <w:pStyle w:val="22"/>
              <w:jc w:val="center"/>
              <w:rPr>
                <w:rFonts w:cs="宋体"/>
                <w:shd w:val="clear" w:color="auto" w:fill="auto"/>
              </w:rPr>
            </w:pPr>
          </w:p>
        </w:tc>
        <w:tc>
          <w:tcPr>
            <w:tcW w:w="1951" w:type="dxa"/>
            <w:vAlign w:val="center"/>
          </w:tcPr>
          <w:p w14:paraId="00DD97AF">
            <w:pPr>
              <w:pStyle w:val="22"/>
              <w:jc w:val="center"/>
              <w:rPr>
                <w:rFonts w:cs="宋体"/>
                <w:shd w:val="clear" w:color="auto" w:fill="auto"/>
              </w:rPr>
            </w:pPr>
          </w:p>
        </w:tc>
        <w:tc>
          <w:tcPr>
            <w:tcW w:w="1764" w:type="dxa"/>
            <w:vAlign w:val="center"/>
          </w:tcPr>
          <w:p w14:paraId="4554FDEF">
            <w:pPr>
              <w:pStyle w:val="22"/>
              <w:jc w:val="center"/>
              <w:rPr>
                <w:rFonts w:cs="宋体"/>
                <w:shd w:val="clear" w:color="auto" w:fill="auto"/>
              </w:rPr>
            </w:pPr>
          </w:p>
        </w:tc>
        <w:tc>
          <w:tcPr>
            <w:tcW w:w="1620" w:type="dxa"/>
            <w:vAlign w:val="center"/>
          </w:tcPr>
          <w:p w14:paraId="645BD37B">
            <w:pPr>
              <w:pStyle w:val="22"/>
              <w:jc w:val="center"/>
              <w:rPr>
                <w:rFonts w:cs="宋体"/>
                <w:shd w:val="clear" w:color="auto" w:fill="auto"/>
              </w:rPr>
            </w:pPr>
          </w:p>
        </w:tc>
        <w:tc>
          <w:tcPr>
            <w:tcW w:w="948" w:type="dxa"/>
            <w:vAlign w:val="center"/>
          </w:tcPr>
          <w:p w14:paraId="1CA3D610">
            <w:pPr>
              <w:pStyle w:val="22"/>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2"/>
              <w:jc w:val="center"/>
              <w:rPr>
                <w:rFonts w:cs="宋体"/>
                <w:shd w:val="clear" w:color="auto" w:fill="auto"/>
              </w:rPr>
            </w:pPr>
          </w:p>
        </w:tc>
        <w:tc>
          <w:tcPr>
            <w:tcW w:w="2579" w:type="dxa"/>
            <w:vAlign w:val="center"/>
          </w:tcPr>
          <w:p w14:paraId="7A301477">
            <w:pPr>
              <w:pStyle w:val="22"/>
              <w:jc w:val="center"/>
              <w:rPr>
                <w:rFonts w:cs="宋体"/>
                <w:shd w:val="clear" w:color="auto" w:fill="auto"/>
              </w:rPr>
            </w:pPr>
          </w:p>
        </w:tc>
        <w:tc>
          <w:tcPr>
            <w:tcW w:w="1951" w:type="dxa"/>
            <w:vAlign w:val="center"/>
          </w:tcPr>
          <w:p w14:paraId="10A1B417">
            <w:pPr>
              <w:pStyle w:val="22"/>
              <w:jc w:val="center"/>
              <w:rPr>
                <w:rFonts w:cs="宋体"/>
                <w:shd w:val="clear" w:color="auto" w:fill="auto"/>
              </w:rPr>
            </w:pPr>
          </w:p>
        </w:tc>
        <w:tc>
          <w:tcPr>
            <w:tcW w:w="1764" w:type="dxa"/>
            <w:vAlign w:val="center"/>
          </w:tcPr>
          <w:p w14:paraId="7421D991">
            <w:pPr>
              <w:pStyle w:val="22"/>
              <w:jc w:val="center"/>
              <w:rPr>
                <w:rFonts w:cs="宋体"/>
                <w:shd w:val="clear" w:color="auto" w:fill="auto"/>
              </w:rPr>
            </w:pPr>
          </w:p>
        </w:tc>
        <w:tc>
          <w:tcPr>
            <w:tcW w:w="1620" w:type="dxa"/>
            <w:vAlign w:val="center"/>
          </w:tcPr>
          <w:p w14:paraId="1F4140D0">
            <w:pPr>
              <w:pStyle w:val="22"/>
              <w:jc w:val="center"/>
              <w:rPr>
                <w:rFonts w:cs="宋体"/>
                <w:shd w:val="clear" w:color="auto" w:fill="auto"/>
              </w:rPr>
            </w:pPr>
          </w:p>
        </w:tc>
        <w:tc>
          <w:tcPr>
            <w:tcW w:w="948" w:type="dxa"/>
            <w:vAlign w:val="center"/>
          </w:tcPr>
          <w:p w14:paraId="290A5B31">
            <w:pPr>
              <w:pStyle w:val="22"/>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2"/>
              <w:jc w:val="center"/>
              <w:rPr>
                <w:rFonts w:cs="宋体"/>
                <w:shd w:val="clear" w:color="auto" w:fill="auto"/>
              </w:rPr>
            </w:pPr>
          </w:p>
        </w:tc>
        <w:tc>
          <w:tcPr>
            <w:tcW w:w="2579" w:type="dxa"/>
            <w:vAlign w:val="center"/>
          </w:tcPr>
          <w:p w14:paraId="4F9F817C">
            <w:pPr>
              <w:pStyle w:val="22"/>
              <w:jc w:val="center"/>
              <w:rPr>
                <w:rFonts w:cs="宋体"/>
                <w:shd w:val="clear" w:color="auto" w:fill="auto"/>
              </w:rPr>
            </w:pPr>
          </w:p>
        </w:tc>
        <w:tc>
          <w:tcPr>
            <w:tcW w:w="1951" w:type="dxa"/>
            <w:vAlign w:val="center"/>
          </w:tcPr>
          <w:p w14:paraId="34EFB653">
            <w:pPr>
              <w:pStyle w:val="22"/>
              <w:jc w:val="center"/>
              <w:rPr>
                <w:rFonts w:cs="宋体"/>
                <w:shd w:val="clear" w:color="auto" w:fill="auto"/>
              </w:rPr>
            </w:pPr>
          </w:p>
        </w:tc>
        <w:tc>
          <w:tcPr>
            <w:tcW w:w="1764" w:type="dxa"/>
            <w:vAlign w:val="center"/>
          </w:tcPr>
          <w:p w14:paraId="7AC78127">
            <w:pPr>
              <w:pStyle w:val="22"/>
              <w:jc w:val="center"/>
              <w:rPr>
                <w:rFonts w:cs="宋体"/>
                <w:shd w:val="clear" w:color="auto" w:fill="auto"/>
              </w:rPr>
            </w:pPr>
          </w:p>
        </w:tc>
        <w:tc>
          <w:tcPr>
            <w:tcW w:w="1620" w:type="dxa"/>
            <w:vAlign w:val="center"/>
          </w:tcPr>
          <w:p w14:paraId="1FE14D34">
            <w:pPr>
              <w:pStyle w:val="22"/>
              <w:jc w:val="center"/>
              <w:rPr>
                <w:rFonts w:cs="宋体"/>
                <w:shd w:val="clear" w:color="auto" w:fill="auto"/>
              </w:rPr>
            </w:pPr>
          </w:p>
        </w:tc>
        <w:tc>
          <w:tcPr>
            <w:tcW w:w="948" w:type="dxa"/>
            <w:vAlign w:val="center"/>
          </w:tcPr>
          <w:p w14:paraId="3058DB4C">
            <w:pPr>
              <w:pStyle w:val="22"/>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2"/>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2"/>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2"/>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2"/>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2"/>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2"/>
              <w:jc w:val="center"/>
              <w:rPr>
                <w:rFonts w:cs="宋体"/>
                <w:shd w:val="clear" w:color="auto" w:fill="auto"/>
              </w:rPr>
            </w:pPr>
          </w:p>
        </w:tc>
      </w:tr>
    </w:tbl>
    <w:p w14:paraId="07111773">
      <w:pPr>
        <w:pStyle w:val="10"/>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1"/>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7"/>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0"/>
      </w:pPr>
    </w:p>
    <w:tbl>
      <w:tblPr>
        <w:tblStyle w:val="23"/>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8"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3"/>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8"/>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7"/>
        </w:numPr>
        <w:jc w:val="left"/>
        <w:rPr>
          <w:rFonts w:ascii="宋体" w:hAnsi="宋体"/>
          <w:b/>
          <w:color w:val="000000"/>
          <w:sz w:val="24"/>
        </w:rPr>
      </w:pPr>
      <w:r>
        <w:rPr>
          <w:rFonts w:hint="eastAsia" w:ascii="宋体" w:hAnsi="宋体"/>
          <w:b/>
          <w:color w:val="000000"/>
          <w:sz w:val="24"/>
        </w:rPr>
        <w:t>符合性审查响应表</w:t>
      </w:r>
    </w:p>
    <w:p w14:paraId="2D1AC062">
      <w:pPr>
        <w:pStyle w:val="10"/>
      </w:pPr>
    </w:p>
    <w:tbl>
      <w:tblPr>
        <w:tblStyle w:val="23"/>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9"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p w14:paraId="790F7F6C">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3、投标人授权代表非法定代表人（单位负责人）时，需提供被授权人依法缴纳的社保证明。</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8"/>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9"/>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7"/>
        </w:numPr>
        <w:jc w:val="left"/>
        <w:rPr>
          <w:rFonts w:ascii="宋体" w:hAnsi="宋体"/>
          <w:b/>
          <w:color w:val="000000"/>
          <w:sz w:val="24"/>
        </w:rPr>
      </w:pPr>
      <w:r>
        <w:rPr>
          <w:rFonts w:hint="eastAsia" w:ascii="宋体" w:hAnsi="宋体"/>
          <w:b/>
          <w:color w:val="000000"/>
          <w:sz w:val="24"/>
        </w:rPr>
        <w:t>资格证明文件</w:t>
      </w:r>
    </w:p>
    <w:p w14:paraId="69B21597">
      <w:pPr>
        <w:pStyle w:val="10"/>
        <w:rPr>
          <w:rFonts w:ascii="宋体" w:hAnsi="宋体"/>
          <w:b/>
          <w:color w:val="000000"/>
          <w:sz w:val="24"/>
        </w:rPr>
      </w:pPr>
    </w:p>
    <w:p w14:paraId="6817925C">
      <w:pPr>
        <w:numPr>
          <w:ilvl w:val="0"/>
          <w:numId w:val="19"/>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0"/>
        <w:rPr>
          <w:rFonts w:ascii="宋体" w:hAnsi="宋体"/>
          <w:b/>
          <w:color w:val="000000"/>
          <w:sz w:val="24"/>
        </w:rPr>
      </w:pPr>
    </w:p>
    <w:p w14:paraId="47A9CE7C">
      <w:pPr>
        <w:numPr>
          <w:ilvl w:val="0"/>
          <w:numId w:val="19"/>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9"/>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9"/>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9"/>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10"/>
      </w:pPr>
    </w:p>
    <w:p w14:paraId="52176543">
      <w:pPr>
        <w:spacing w:line="360" w:lineRule="auto"/>
        <w:rPr>
          <w:rFonts w:ascii="宋体" w:hAnsi="宋体"/>
          <w:sz w:val="24"/>
        </w:rPr>
      </w:pPr>
    </w:p>
    <w:p w14:paraId="563D7A4E">
      <w:pPr>
        <w:pStyle w:val="10"/>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5"/>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5"/>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5"/>
        <w:autoSpaceDE w:val="0"/>
        <w:autoSpaceDN w:val="0"/>
        <w:spacing w:before="120" w:after="120" w:line="240" w:lineRule="atLeast"/>
        <w:jc w:val="left"/>
        <w:rPr>
          <w:rFonts w:ascii="宋体" w:hAnsi="宋体" w:eastAsia="宋体" w:cs="宋体"/>
          <w:szCs w:val="24"/>
        </w:rPr>
      </w:pPr>
    </w:p>
    <w:p w14:paraId="3B930E6B">
      <w:pPr>
        <w:pStyle w:val="35"/>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5"/>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4D7B9D9">
      <w:pPr>
        <w:pStyle w:val="35"/>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6CB8AE07">
      <w:pPr>
        <w:rPr>
          <w:rFonts w:ascii="宋体" w:hAnsi="宋体" w:cs="宋体"/>
          <w:bCs/>
          <w:color w:val="FF0000"/>
          <w:sz w:val="24"/>
        </w:rPr>
      </w:pPr>
    </w:p>
    <w:p w14:paraId="4C8896B3">
      <w:pPr>
        <w:rPr>
          <w:rFonts w:ascii="宋体" w:hAnsi="宋体" w:cs="宋体"/>
          <w:bCs/>
          <w:sz w:val="24"/>
        </w:rPr>
      </w:pPr>
      <w:r>
        <w:rPr>
          <w:rFonts w:hint="eastAsia" w:ascii="宋体" w:hAnsi="宋体" w:cs="宋体"/>
          <w:bCs/>
          <w:sz w:val="24"/>
        </w:rPr>
        <w:t>附：</w:t>
      </w:r>
    </w:p>
    <w:p w14:paraId="373D6031">
      <w:pPr>
        <w:rPr>
          <w:rFonts w:ascii="宋体" w:hAnsi="宋体" w:cs="宋体"/>
          <w:bCs/>
          <w:sz w:val="24"/>
        </w:rPr>
      </w:pPr>
    </w:p>
    <w:p w14:paraId="76FF6D33">
      <w:pPr>
        <w:rPr>
          <w:rFonts w:ascii="宋体" w:hAnsi="宋体" w:cs="宋体"/>
          <w:bCs/>
          <w:sz w:val="24"/>
          <w:u w:val="single"/>
        </w:rPr>
      </w:pPr>
      <w:r>
        <w:rPr>
          <w:rFonts w:hint="eastAsia" w:ascii="宋体" w:hAnsi="宋体" w:cs="宋体"/>
          <w:bCs/>
          <w:sz w:val="24"/>
          <w:u w:val="single"/>
        </w:rPr>
        <w:t>1、请另附上法定代表人（投资人/负责人）及被授权人的身份证（正反两面）或其他有效证件的复印件各一份。</w:t>
      </w:r>
    </w:p>
    <w:tbl>
      <w:tblPr>
        <w:tblStyle w:val="23"/>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vAlign w:val="center"/>
          </w:tcPr>
          <w:p w14:paraId="0E00E74E">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法定代表人（投资人/负责人）身份证正面粘贴处</w:t>
            </w:r>
          </w:p>
        </w:tc>
        <w:tc>
          <w:tcPr>
            <w:tcW w:w="4580" w:type="dxa"/>
            <w:vAlign w:val="center"/>
          </w:tcPr>
          <w:p w14:paraId="0A915EB0">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vAlign w:val="center"/>
          </w:tcPr>
          <w:p w14:paraId="49243F1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580" w:type="dxa"/>
            <w:vAlign w:val="center"/>
          </w:tcPr>
          <w:p w14:paraId="2A6C5C9B">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010E371"/>
    <w:p w14:paraId="39E7481F">
      <w:pPr>
        <w:numPr>
          <w:ilvl w:val="0"/>
          <w:numId w:val="20"/>
        </w:numPr>
        <w:rPr>
          <w:rFonts w:ascii="宋体" w:hAnsi="宋体" w:cs="宋体"/>
          <w:b/>
          <w:color w:val="FF0000"/>
          <w:sz w:val="24"/>
          <w:u w:val="single"/>
        </w:rPr>
      </w:pPr>
      <w:r>
        <w:rPr>
          <w:rFonts w:hint="eastAsia" w:ascii="宋体" w:hAnsi="宋体" w:cs="宋体"/>
          <w:b/>
          <w:color w:val="FF0000"/>
          <w:sz w:val="24"/>
          <w:u w:val="single"/>
        </w:rPr>
        <w:t>被授权人依法缴纳社保证明复印件(要求提供投标截止日前半年内任意一个月的证明材料)</w:t>
      </w:r>
    </w:p>
    <w:p w14:paraId="1DFAAA1D">
      <w:pPr>
        <w:rPr>
          <w:rFonts w:ascii="宋体" w:hAnsi="宋体" w:cs="宋体"/>
          <w:bCs/>
          <w:sz w:val="24"/>
        </w:rPr>
      </w:pPr>
    </w:p>
    <w:p w14:paraId="297D3ABC">
      <w:pPr>
        <w:rPr>
          <w:rFonts w:ascii="宋体" w:hAnsi="宋体" w:cs="宋体"/>
          <w:bCs/>
          <w:sz w:val="24"/>
        </w:rPr>
      </w:pPr>
    </w:p>
    <w:p w14:paraId="53C9938B">
      <w:pPr>
        <w:rPr>
          <w:rFonts w:ascii="宋体" w:hAnsi="宋体" w:cs="宋体"/>
          <w:bCs/>
          <w:sz w:val="24"/>
        </w:rPr>
      </w:pPr>
    </w:p>
    <w:p w14:paraId="0C8B80F6">
      <w:pPr>
        <w:rPr>
          <w:rFonts w:ascii="宋体" w:hAnsi="宋体" w:cs="宋体"/>
          <w:b/>
          <w:sz w:val="24"/>
          <w:u w:val="single"/>
        </w:rPr>
      </w:pPr>
      <w:r>
        <w:rPr>
          <w:rFonts w:hint="eastAsia" w:ascii="宋体" w:hAnsi="宋体" w:cs="宋体"/>
          <w:b/>
          <w:sz w:val="24"/>
          <w:u w:val="single"/>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5"/>
        <w:autoSpaceDE w:val="0"/>
        <w:autoSpaceDN w:val="0"/>
        <w:spacing w:before="120" w:after="120" w:line="240" w:lineRule="atLeast"/>
        <w:jc w:val="left"/>
        <w:rPr>
          <w:rFonts w:ascii="宋体" w:hAnsi="宋体" w:eastAsia="宋体" w:cs="宋体"/>
          <w:szCs w:val="24"/>
        </w:rPr>
      </w:pPr>
    </w:p>
    <w:p w14:paraId="7E49E3E9">
      <w:pPr>
        <w:pStyle w:val="35"/>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5"/>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1340F9A">
      <w:pPr>
        <w:pStyle w:val="35"/>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1E459B48">
      <w:pPr>
        <w:pStyle w:val="10"/>
      </w:pPr>
    </w:p>
    <w:p w14:paraId="2488CF92">
      <w:pPr>
        <w:pStyle w:val="10"/>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3"/>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0"/>
        <w:rPr>
          <w:rFonts w:ascii="宋体" w:hAnsi="宋体" w:cs="宋体"/>
          <w:sz w:val="24"/>
          <w:u w:val="single"/>
        </w:rPr>
      </w:pPr>
    </w:p>
    <w:p w14:paraId="499B3638">
      <w:pPr>
        <w:pStyle w:val="10"/>
        <w:rPr>
          <w:rFonts w:ascii="宋体" w:hAnsi="宋体" w:cs="宋体"/>
          <w:sz w:val="24"/>
          <w:u w:val="single"/>
        </w:rPr>
      </w:pPr>
    </w:p>
    <w:p w14:paraId="072B5D47">
      <w:pPr>
        <w:pStyle w:val="10"/>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0"/>
      </w:pPr>
    </w:p>
    <w:p w14:paraId="7218F98F">
      <w:pPr>
        <w:pStyle w:val="10"/>
      </w:pPr>
    </w:p>
    <w:p w14:paraId="7D70F0A6">
      <w:pPr>
        <w:pStyle w:val="10"/>
      </w:pPr>
    </w:p>
    <w:p w14:paraId="28E8FAAF">
      <w:pPr>
        <w:pStyle w:val="10"/>
      </w:pPr>
    </w:p>
    <w:p w14:paraId="3662A0D9">
      <w:pPr>
        <w:pStyle w:val="10"/>
      </w:pPr>
    </w:p>
    <w:p w14:paraId="30F7D075">
      <w:pPr>
        <w:pStyle w:val="10"/>
      </w:pPr>
    </w:p>
    <w:p w14:paraId="4A4BB30D">
      <w:pPr>
        <w:pStyle w:val="10"/>
      </w:pPr>
    </w:p>
    <w:p w14:paraId="29837752">
      <w:pPr>
        <w:pStyle w:val="10"/>
      </w:pPr>
    </w:p>
    <w:p w14:paraId="1F9F384D">
      <w:pPr>
        <w:pStyle w:val="10"/>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F40400E">
      <w:pPr>
        <w:ind w:firstLine="3040" w:firstLineChars="950"/>
        <w:rPr>
          <w:rFonts w:hint="eastAsia" w:ascii="宋体" w:hAnsi="宋体"/>
          <w:b/>
          <w:sz w:val="32"/>
          <w:szCs w:val="20"/>
        </w:rPr>
      </w:pPr>
      <w:r>
        <w:rPr>
          <w:rFonts w:hint="eastAsia" w:ascii="宋体" w:hAnsi="宋体"/>
          <w:b/>
          <w:sz w:val="32"/>
          <w:szCs w:val="20"/>
        </w:rPr>
        <w:t>信用中国查询结果截图</w:t>
      </w:r>
    </w:p>
    <w:p w14:paraId="116345C0">
      <w:pPr>
        <w:numPr>
          <w:ilvl w:val="0"/>
          <w:numId w:val="21"/>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2E0B9CC3">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74E66598">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501640" cy="3093085"/>
                    </a:xfrm>
                    <a:prstGeom prst="rect">
                      <a:avLst/>
                    </a:prstGeom>
                    <a:noFill/>
                    <a:ln>
                      <a:noFill/>
                    </a:ln>
                  </pic:spPr>
                </pic:pic>
              </a:graphicData>
            </a:graphic>
          </wp:inline>
        </w:drawing>
      </w:r>
    </w:p>
    <w:p w14:paraId="72E496E2">
      <w:pPr>
        <w:pStyle w:val="9"/>
        <w:numPr>
          <w:ilvl w:val="0"/>
          <w:numId w:val="21"/>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1D4FA59E">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2D5D379F">
      <w:pPr>
        <w:pStyle w:val="9"/>
        <w:numPr>
          <w:ilvl w:val="0"/>
          <w:numId w:val="0"/>
        </w:numPr>
        <w:ind w:leftChars="0"/>
      </w:pPr>
      <w:r>
        <w:drawing>
          <wp:inline distT="0" distB="0" distL="114300" distR="114300">
            <wp:extent cx="5426710" cy="2823845"/>
            <wp:effectExtent l="0" t="0" r="1397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5426710" cy="2823845"/>
                    </a:xfrm>
                    <a:prstGeom prst="rect">
                      <a:avLst/>
                    </a:prstGeom>
                    <a:noFill/>
                    <a:ln>
                      <a:noFill/>
                    </a:ln>
                  </pic:spPr>
                </pic:pic>
              </a:graphicData>
            </a:graphic>
          </wp:inline>
        </w:drawing>
      </w:r>
    </w:p>
    <w:p w14:paraId="664A8EB3">
      <w:pPr>
        <w:pStyle w:val="9"/>
        <w:numPr>
          <w:ilvl w:val="0"/>
          <w:numId w:val="0"/>
        </w:numPr>
        <w:ind w:leftChars="0"/>
        <w:rPr>
          <w:rFonts w:hint="eastAsia"/>
        </w:rPr>
      </w:pPr>
    </w:p>
    <w:p w14:paraId="45F21105">
      <w:pPr>
        <w:pStyle w:val="9"/>
        <w:rPr>
          <w:rFonts w:ascii="宋体" w:hAnsi="宋体"/>
          <w:color w:val="000000"/>
          <w:sz w:val="24"/>
          <w:szCs w:val="20"/>
        </w:rPr>
      </w:pPr>
    </w:p>
    <w:p w14:paraId="4070D11E">
      <w:pPr>
        <w:numPr>
          <w:ilvl w:val="0"/>
          <w:numId w:val="21"/>
        </w:numPr>
        <w:spacing w:line="360" w:lineRule="auto"/>
        <w:ind w:left="0" w:leftChars="0" w:firstLine="0" w:firstLineChars="0"/>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6F0D20E3">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6C30B757">
      <w:r>
        <w:drawing>
          <wp:anchor distT="0" distB="0" distL="114300" distR="114300" simplePos="0" relativeHeight="251659264" behindDoc="0" locked="0" layoutInCell="1" allowOverlap="1">
            <wp:simplePos x="0" y="0"/>
            <wp:positionH relativeFrom="column">
              <wp:posOffset>7620</wp:posOffset>
            </wp:positionH>
            <wp:positionV relativeFrom="paragraph">
              <wp:posOffset>22860</wp:posOffset>
            </wp:positionV>
            <wp:extent cx="5577840" cy="3164840"/>
            <wp:effectExtent l="0" t="0" r="0"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5577840" cy="3164840"/>
                    </a:xfrm>
                    <a:prstGeom prst="rect">
                      <a:avLst/>
                    </a:prstGeom>
                    <a:noFill/>
                    <a:ln>
                      <a:noFill/>
                    </a:ln>
                  </pic:spPr>
                </pic:pic>
              </a:graphicData>
            </a:graphic>
          </wp:anchor>
        </w:drawing>
      </w:r>
    </w:p>
    <w:p w14:paraId="69192D0E">
      <w:pPr>
        <w:pStyle w:val="10"/>
      </w:pPr>
    </w:p>
    <w:p w14:paraId="69C4B0E8">
      <w:pPr>
        <w:pStyle w:val="10"/>
      </w:pPr>
    </w:p>
    <w:p w14:paraId="17D9F938">
      <w:pPr>
        <w:pStyle w:val="10"/>
      </w:pPr>
    </w:p>
    <w:p w14:paraId="4D78E1F7">
      <w:pPr>
        <w:pStyle w:val="10"/>
      </w:pPr>
    </w:p>
    <w:p w14:paraId="7090B2AB">
      <w:pPr>
        <w:pStyle w:val="10"/>
      </w:pPr>
    </w:p>
    <w:p w14:paraId="12C9B24A">
      <w:pPr>
        <w:pStyle w:val="10"/>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0"/>
      </w:pPr>
    </w:p>
    <w:p w14:paraId="4D798882">
      <w:pPr>
        <w:rPr>
          <w:rFonts w:ascii="宋体" w:hAnsi="宋体" w:cs="宋体"/>
        </w:rPr>
      </w:pPr>
    </w:p>
    <w:tbl>
      <w:tblPr>
        <w:tblStyle w:val="23"/>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七、售后服务承诺（格式自拟）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10"/>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6"/>
      <w:tabs>
        <w:tab w:val="center" w:pos="464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6"/>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6"/>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6"/>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F304B"/>
    <w:multiLevelType w:val="singleLevel"/>
    <w:tmpl w:val="9DDF304B"/>
    <w:lvl w:ilvl="0" w:tentative="0">
      <w:start w:val="1"/>
      <w:numFmt w:val="decimal"/>
      <w:lvlText w:val="%1."/>
      <w:lvlJc w:val="left"/>
      <w:pPr>
        <w:ind w:left="425" w:hanging="425"/>
      </w:pPr>
      <w:rPr>
        <w:rFonts w:hint="default"/>
      </w:rPr>
    </w:lvl>
  </w:abstractNum>
  <w:abstractNum w:abstractNumId="1">
    <w:nsid w:val="E53E9CF9"/>
    <w:multiLevelType w:val="singleLevel"/>
    <w:tmpl w:val="E53E9CF9"/>
    <w:lvl w:ilvl="0" w:tentative="0">
      <w:start w:val="1"/>
      <w:numFmt w:val="decimal"/>
      <w:lvlText w:val="%1."/>
      <w:lvlJc w:val="left"/>
      <w:pPr>
        <w:ind w:left="425" w:hanging="425"/>
      </w:pPr>
      <w:rPr>
        <w:rFonts w:hint="default"/>
      </w:rPr>
    </w:lvl>
  </w:abstractNum>
  <w:abstractNum w:abstractNumId="2">
    <w:nsid w:val="ED0CE4FB"/>
    <w:multiLevelType w:val="singleLevel"/>
    <w:tmpl w:val="ED0CE4FB"/>
    <w:lvl w:ilvl="0" w:tentative="0">
      <w:start w:val="1"/>
      <w:numFmt w:val="decimal"/>
      <w:lvlText w:val="(%1)"/>
      <w:lvlJc w:val="left"/>
      <w:pPr>
        <w:ind w:left="425" w:hanging="425"/>
      </w:pPr>
      <w:rPr>
        <w:rFonts w:hint="default"/>
      </w:rPr>
    </w:lvl>
  </w:abstractNum>
  <w:abstractNum w:abstractNumId="3">
    <w:nsid w:val="F0F73F5C"/>
    <w:multiLevelType w:val="singleLevel"/>
    <w:tmpl w:val="F0F73F5C"/>
    <w:lvl w:ilvl="0" w:tentative="0">
      <w:start w:val="1"/>
      <w:numFmt w:val="decimal"/>
      <w:lvlText w:val="(%1)"/>
      <w:lvlJc w:val="left"/>
      <w:pPr>
        <w:ind w:left="425" w:hanging="425"/>
      </w:pPr>
      <w:rPr>
        <w:rFonts w:hint="default"/>
      </w:rPr>
    </w:lvl>
  </w:abstractNum>
  <w:abstractNum w:abstractNumId="4">
    <w:nsid w:val="F3738441"/>
    <w:multiLevelType w:val="singleLevel"/>
    <w:tmpl w:val="F3738441"/>
    <w:lvl w:ilvl="0" w:tentative="0">
      <w:start w:val="1"/>
      <w:numFmt w:val="decimal"/>
      <w:suff w:val="nothing"/>
      <w:lvlText w:val="（%1）"/>
      <w:lvlJc w:val="left"/>
    </w:lvl>
  </w:abstractNum>
  <w:abstractNum w:abstractNumId="5">
    <w:nsid w:val="FD83C4E4"/>
    <w:multiLevelType w:val="singleLevel"/>
    <w:tmpl w:val="FD83C4E4"/>
    <w:lvl w:ilvl="0" w:tentative="0">
      <w:start w:val="2"/>
      <w:numFmt w:val="decimal"/>
      <w:suff w:val="nothing"/>
      <w:lvlText w:val="%1、"/>
      <w:lvlJc w:val="left"/>
    </w:lvl>
  </w:abstractNum>
  <w:abstractNum w:abstractNumId="6">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7">
    <w:nsid w:val="06157ABB"/>
    <w:multiLevelType w:val="singleLevel"/>
    <w:tmpl w:val="06157ABB"/>
    <w:lvl w:ilvl="0" w:tentative="0">
      <w:start w:val="2"/>
      <w:numFmt w:val="chineseCounting"/>
      <w:suff w:val="nothing"/>
      <w:lvlText w:val="%1、"/>
      <w:lvlJc w:val="left"/>
      <w:rPr>
        <w:rFonts w:hint="eastAsia"/>
      </w:rPr>
    </w:lvl>
  </w:abstractNum>
  <w:abstractNum w:abstractNumId="8">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5606CD3"/>
    <w:multiLevelType w:val="singleLevel"/>
    <w:tmpl w:val="15606CD3"/>
    <w:lvl w:ilvl="0" w:tentative="0">
      <w:start w:val="1"/>
      <w:numFmt w:val="decimal"/>
      <w:suff w:val="nothing"/>
      <w:lvlText w:val="%1、"/>
      <w:lvlJc w:val="left"/>
      <w:rPr>
        <w:rFonts w:hint="default"/>
        <w:b w:val="0"/>
        <w:bCs w:val="0"/>
      </w:rPr>
    </w:lvl>
  </w:abstractNum>
  <w:abstractNum w:abstractNumId="11">
    <w:nsid w:val="271E5253"/>
    <w:multiLevelType w:val="singleLevel"/>
    <w:tmpl w:val="271E5253"/>
    <w:lvl w:ilvl="0" w:tentative="0">
      <w:start w:val="1"/>
      <w:numFmt w:val="decimal"/>
      <w:lvlText w:val="(%1)"/>
      <w:lvlJc w:val="left"/>
      <w:pPr>
        <w:ind w:left="425" w:hanging="425"/>
      </w:pPr>
      <w:rPr>
        <w:rFonts w:hint="default"/>
      </w:rPr>
    </w:lvl>
  </w:abstractNum>
  <w:abstractNum w:abstractNumId="12">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DA01CD6"/>
    <w:multiLevelType w:val="multilevel"/>
    <w:tmpl w:val="2DA01CD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34396FD0"/>
    <w:multiLevelType w:val="singleLevel"/>
    <w:tmpl w:val="34396FD0"/>
    <w:lvl w:ilvl="0" w:tentative="0">
      <w:start w:val="1"/>
      <w:numFmt w:val="decimal"/>
      <w:lvlText w:val="(%1)"/>
      <w:lvlJc w:val="left"/>
      <w:pPr>
        <w:ind w:left="425" w:hanging="425"/>
      </w:pPr>
      <w:rPr>
        <w:rFonts w:hint="default"/>
      </w:rPr>
    </w:lvl>
  </w:abstractNum>
  <w:abstractNum w:abstractNumId="15">
    <w:nsid w:val="4F968C7E"/>
    <w:multiLevelType w:val="singleLevel"/>
    <w:tmpl w:val="4F968C7E"/>
    <w:lvl w:ilvl="0" w:tentative="0">
      <w:start w:val="1"/>
      <w:numFmt w:val="chineseCounting"/>
      <w:suff w:val="nothing"/>
      <w:lvlText w:val="%1、"/>
      <w:lvlJc w:val="left"/>
      <w:rPr>
        <w:rFonts w:hint="eastAsia"/>
        <w:b/>
        <w:bCs/>
      </w:rPr>
    </w:lvl>
  </w:abstractNum>
  <w:abstractNum w:abstractNumId="16">
    <w:nsid w:val="55749F86"/>
    <w:multiLevelType w:val="singleLevel"/>
    <w:tmpl w:val="55749F86"/>
    <w:lvl w:ilvl="0" w:tentative="0">
      <w:start w:val="1"/>
      <w:numFmt w:val="decimal"/>
      <w:lvlText w:val="%1."/>
      <w:lvlJc w:val="left"/>
      <w:pPr>
        <w:tabs>
          <w:tab w:val="left" w:pos="312"/>
        </w:tabs>
      </w:pPr>
    </w:lvl>
  </w:abstractNum>
  <w:abstractNum w:abstractNumId="17">
    <w:nsid w:val="665B2A96"/>
    <w:multiLevelType w:val="singleLevel"/>
    <w:tmpl w:val="665B2A96"/>
    <w:lvl w:ilvl="0" w:tentative="0">
      <w:start w:val="2"/>
      <w:numFmt w:val="chineseCounting"/>
      <w:suff w:val="space"/>
      <w:lvlText w:val="第%1章"/>
      <w:lvlJc w:val="left"/>
      <w:rPr>
        <w:rFonts w:hint="eastAsia"/>
      </w:rPr>
    </w:lvl>
  </w:abstractNum>
  <w:abstractNum w:abstractNumId="18">
    <w:nsid w:val="69CB5170"/>
    <w:multiLevelType w:val="multilevel"/>
    <w:tmpl w:val="69CB517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9">
    <w:nsid w:val="6DAC2DAB"/>
    <w:multiLevelType w:val="singleLevel"/>
    <w:tmpl w:val="6DAC2DAB"/>
    <w:lvl w:ilvl="0" w:tentative="0">
      <w:start w:val="3"/>
      <w:numFmt w:val="chineseCounting"/>
      <w:suff w:val="space"/>
      <w:lvlText w:val="第%1章"/>
      <w:lvlJc w:val="left"/>
      <w:rPr>
        <w:rFonts w:hint="eastAsia"/>
      </w:rPr>
    </w:lvl>
  </w:abstractNum>
  <w:abstractNum w:abstractNumId="20">
    <w:nsid w:val="77DA36D8"/>
    <w:multiLevelType w:val="multilevel"/>
    <w:tmpl w:val="77DA36D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11"/>
  </w:num>
  <w:num w:numId="6">
    <w:abstractNumId w:val="3"/>
  </w:num>
  <w:num w:numId="7">
    <w:abstractNumId w:val="17"/>
  </w:num>
  <w:num w:numId="8">
    <w:abstractNumId w:val="15"/>
  </w:num>
  <w:num w:numId="9">
    <w:abstractNumId w:val="1"/>
  </w:num>
  <w:num w:numId="10">
    <w:abstractNumId w:val="20"/>
  </w:num>
  <w:num w:numId="11">
    <w:abstractNumId w:val="13"/>
  </w:num>
  <w:num w:numId="12">
    <w:abstractNumId w:val="18"/>
  </w:num>
  <w:num w:numId="13">
    <w:abstractNumId w:val="0"/>
  </w:num>
  <w:num w:numId="14">
    <w:abstractNumId w:val="4"/>
  </w:num>
  <w:num w:numId="15">
    <w:abstractNumId w:val="19"/>
  </w:num>
  <w:num w:numId="16">
    <w:abstractNumId w:val="12"/>
  </w:num>
  <w:num w:numId="17">
    <w:abstractNumId w:val="7"/>
  </w:num>
  <w:num w:numId="18">
    <w:abstractNumId w:val="8"/>
  </w:num>
  <w:num w:numId="19">
    <w:abstractNumId w:val="10"/>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4F524C"/>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C6FDD"/>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35867"/>
    <w:rsid w:val="00F64FFF"/>
    <w:rsid w:val="00F73696"/>
    <w:rsid w:val="00F7584C"/>
    <w:rsid w:val="00F94D09"/>
    <w:rsid w:val="014A68C8"/>
    <w:rsid w:val="01594BE2"/>
    <w:rsid w:val="02444EC6"/>
    <w:rsid w:val="0310259B"/>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6B542E"/>
    <w:rsid w:val="13E1043A"/>
    <w:rsid w:val="149E3943"/>
    <w:rsid w:val="153B5BB0"/>
    <w:rsid w:val="15931E04"/>
    <w:rsid w:val="167D3F07"/>
    <w:rsid w:val="1722351A"/>
    <w:rsid w:val="176364BB"/>
    <w:rsid w:val="17807FD2"/>
    <w:rsid w:val="17DB3911"/>
    <w:rsid w:val="18995C87"/>
    <w:rsid w:val="19AF0388"/>
    <w:rsid w:val="1AE86D22"/>
    <w:rsid w:val="1B2858DB"/>
    <w:rsid w:val="1B5A708E"/>
    <w:rsid w:val="1B812479"/>
    <w:rsid w:val="1B994D2B"/>
    <w:rsid w:val="1BE303B4"/>
    <w:rsid w:val="1C066AB2"/>
    <w:rsid w:val="1CA73DFC"/>
    <w:rsid w:val="1D880F0B"/>
    <w:rsid w:val="1DDA0DF5"/>
    <w:rsid w:val="1DDE59E8"/>
    <w:rsid w:val="1DF82BF7"/>
    <w:rsid w:val="1E322D19"/>
    <w:rsid w:val="1E336568"/>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1D45FF1"/>
    <w:rsid w:val="326B4DEF"/>
    <w:rsid w:val="32BB4705"/>
    <w:rsid w:val="33592BC3"/>
    <w:rsid w:val="339D306F"/>
    <w:rsid w:val="33ED145B"/>
    <w:rsid w:val="340F5109"/>
    <w:rsid w:val="34A667EE"/>
    <w:rsid w:val="35253430"/>
    <w:rsid w:val="35317857"/>
    <w:rsid w:val="354A2CD2"/>
    <w:rsid w:val="358E544C"/>
    <w:rsid w:val="36A748ED"/>
    <w:rsid w:val="378515A4"/>
    <w:rsid w:val="37DF69EA"/>
    <w:rsid w:val="383B6244"/>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3680D81"/>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112A2"/>
    <w:rsid w:val="4E792389"/>
    <w:rsid w:val="4F772768"/>
    <w:rsid w:val="4FF84097"/>
    <w:rsid w:val="502865F4"/>
    <w:rsid w:val="506131F5"/>
    <w:rsid w:val="50977054"/>
    <w:rsid w:val="50BC4F45"/>
    <w:rsid w:val="514629BB"/>
    <w:rsid w:val="51655889"/>
    <w:rsid w:val="51D81616"/>
    <w:rsid w:val="535C1F33"/>
    <w:rsid w:val="54666C24"/>
    <w:rsid w:val="54E329C2"/>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0F2041F"/>
    <w:rsid w:val="611A7247"/>
    <w:rsid w:val="61714136"/>
    <w:rsid w:val="61DE4C7B"/>
    <w:rsid w:val="62886432"/>
    <w:rsid w:val="630E0B52"/>
    <w:rsid w:val="63D80E82"/>
    <w:rsid w:val="65454341"/>
    <w:rsid w:val="654B35BF"/>
    <w:rsid w:val="65766C91"/>
    <w:rsid w:val="65C50B86"/>
    <w:rsid w:val="66D11175"/>
    <w:rsid w:val="67404C39"/>
    <w:rsid w:val="689D4DD4"/>
    <w:rsid w:val="697417E4"/>
    <w:rsid w:val="6A477CA2"/>
    <w:rsid w:val="6AF7142B"/>
    <w:rsid w:val="6AFB21F9"/>
    <w:rsid w:val="6B2F17DE"/>
    <w:rsid w:val="6B764EF7"/>
    <w:rsid w:val="6BB100F5"/>
    <w:rsid w:val="6BD5384A"/>
    <w:rsid w:val="6BE2620E"/>
    <w:rsid w:val="6C0E74B9"/>
    <w:rsid w:val="6C333ED7"/>
    <w:rsid w:val="6CAB169B"/>
    <w:rsid w:val="6CB91B00"/>
    <w:rsid w:val="6CCA7B1A"/>
    <w:rsid w:val="6D9545B2"/>
    <w:rsid w:val="6E12648B"/>
    <w:rsid w:val="6E4D5448"/>
    <w:rsid w:val="6E717C6C"/>
    <w:rsid w:val="6E871F5F"/>
    <w:rsid w:val="6E8A5325"/>
    <w:rsid w:val="6E986F77"/>
    <w:rsid w:val="6EAD0B99"/>
    <w:rsid w:val="6EEA4675"/>
    <w:rsid w:val="6EED3858"/>
    <w:rsid w:val="6F5B1F5C"/>
    <w:rsid w:val="6F741DC3"/>
    <w:rsid w:val="6FB43186"/>
    <w:rsid w:val="71463E8D"/>
    <w:rsid w:val="715A3434"/>
    <w:rsid w:val="71ED53C5"/>
    <w:rsid w:val="71F9523C"/>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paragraph" w:styleId="4">
    <w:name w:val="heading 2"/>
    <w:basedOn w:val="1"/>
    <w:next w:val="3"/>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keepLines/>
      <w:spacing w:before="280" w:after="290" w:line="376" w:lineRule="auto"/>
      <w:outlineLvl w:val="3"/>
    </w:pPr>
    <w:rPr>
      <w:rFonts w:ascii="Cambria" w:hAnsi="Cambria"/>
      <w:b/>
      <w:bCs/>
      <w:sz w:val="28"/>
      <w:szCs w:val="28"/>
      <w:lang w:val="zh-CN"/>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3">
    <w:name w:val="方案正文"/>
    <w:basedOn w:val="1"/>
    <w:qFormat/>
    <w:uiPriority w:val="0"/>
    <w:pPr>
      <w:spacing w:before="156" w:line="360" w:lineRule="auto"/>
      <w:ind w:firstLine="359" w:firstLineChars="171"/>
      <w:jc w:val="left"/>
    </w:pPr>
    <w:rPr>
      <w:rFonts w:cs="宋体"/>
      <w:sz w:val="24"/>
    </w:rPr>
  </w:style>
  <w:style w:type="paragraph" w:styleId="8">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9">
    <w:name w:val="annotation text"/>
    <w:basedOn w:val="1"/>
    <w:link w:val="40"/>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firstLine="420"/>
    </w:pPr>
    <w:rPr>
      <w:rFonts w:ascii="宋体" w:hAnsi="宋体"/>
      <w:sz w:val="24"/>
      <w:shd w:val="pct10" w:color="auto" w:fill="FFFFFF"/>
    </w:rPr>
  </w:style>
  <w:style w:type="paragraph" w:styleId="12">
    <w:name w:val="index 4"/>
    <w:basedOn w:val="1"/>
    <w:next w:val="1"/>
    <w:unhideWhenUsed/>
    <w:qFormat/>
    <w:uiPriority w:val="99"/>
    <w:pPr>
      <w:ind w:left="600" w:leftChars="600"/>
    </w:pPr>
  </w:style>
  <w:style w:type="paragraph" w:styleId="13">
    <w:name w:val="Plain Text"/>
    <w:basedOn w:val="1"/>
    <w:unhideWhenUsed/>
    <w:qFormat/>
    <w:uiPriority w:val="99"/>
    <w:rPr>
      <w:rFonts w:ascii="宋体" w:hAnsi="Courier New"/>
    </w:rPr>
  </w:style>
  <w:style w:type="paragraph" w:styleId="14">
    <w:name w:val="Date"/>
    <w:basedOn w:val="1"/>
    <w:next w:val="1"/>
    <w:qFormat/>
    <w:uiPriority w:val="0"/>
    <w:pPr>
      <w:ind w:left="100" w:leftChars="2500"/>
    </w:pPr>
    <w:rPr>
      <w:kern w:val="0"/>
      <w:sz w:val="20"/>
      <w:szCs w:val="20"/>
    </w:rPr>
  </w:style>
  <w:style w:type="paragraph" w:styleId="15">
    <w:name w:val="Balloon Text"/>
    <w:basedOn w:val="1"/>
    <w:link w:val="36"/>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jc w:val="center"/>
    </w:pPr>
    <w:rPr>
      <w:rFonts w:ascii="楷体_GB2312" w:eastAsia="楷体_GB2312"/>
      <w:b/>
      <w:sz w:val="72"/>
      <w:szCs w:val="2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9"/>
    <w:next w:val="9"/>
    <w:link w:val="41"/>
    <w:qFormat/>
    <w:uiPriority w:val="0"/>
    <w:rPr>
      <w:b/>
      <w:bCs/>
    </w:rPr>
  </w:style>
  <w:style w:type="paragraph" w:styleId="21">
    <w:name w:val="Body Text First Indent"/>
    <w:basedOn w:val="10"/>
    <w:unhideWhenUsed/>
    <w:qFormat/>
    <w:uiPriority w:val="99"/>
    <w:pPr>
      <w:ind w:firstLine="420" w:firstLineChars="100"/>
    </w:pPr>
  </w:style>
  <w:style w:type="paragraph" w:styleId="22">
    <w:name w:val="Body Text First Indent 2"/>
    <w:basedOn w:val="11"/>
    <w:unhideWhenUsed/>
    <w:qFormat/>
    <w:uiPriority w:val="99"/>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style>
  <w:style w:type="character" w:styleId="28">
    <w:name w:val="FollowedHyperlink"/>
    <w:basedOn w:val="25"/>
    <w:qFormat/>
    <w:uiPriority w:val="0"/>
    <w:rPr>
      <w:color w:val="800080"/>
      <w:u w:val="single"/>
    </w:rPr>
  </w:style>
  <w:style w:type="character" w:styleId="29">
    <w:name w:val="Hyperlink"/>
    <w:basedOn w:val="25"/>
    <w:unhideWhenUsed/>
    <w:qFormat/>
    <w:uiPriority w:val="0"/>
    <w:rPr>
      <w:color w:val="0000FF"/>
      <w:u w:val="single"/>
    </w:rPr>
  </w:style>
  <w:style w:type="character" w:styleId="30">
    <w:name w:val="annotation reference"/>
    <w:basedOn w:val="25"/>
    <w:qFormat/>
    <w:uiPriority w:val="0"/>
    <w:rPr>
      <w:sz w:val="21"/>
      <w:szCs w:val="21"/>
    </w:rPr>
  </w:style>
  <w:style w:type="paragraph" w:customStyle="1" w:styleId="31">
    <w:name w:val="ITB-0"/>
    <w:basedOn w:val="1"/>
    <w:qFormat/>
    <w:uiPriority w:val="0"/>
    <w:pPr>
      <w:adjustRightInd w:val="0"/>
      <w:jc w:val="center"/>
    </w:pPr>
    <w:rPr>
      <w:b/>
      <w:sz w:val="32"/>
      <w:szCs w:val="20"/>
    </w:rPr>
  </w:style>
  <w:style w:type="paragraph" w:customStyle="1" w:styleId="3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3">
    <w:name w:val="ifb-1"/>
    <w:basedOn w:val="1"/>
    <w:qFormat/>
    <w:uiPriority w:val="0"/>
    <w:pPr>
      <w:ind w:left="420" w:hanging="420"/>
    </w:pPr>
    <w:rPr>
      <w:rFonts w:ascii="楷体_GB2312" w:eastAsia="楷体_GB2312"/>
      <w:szCs w:val="20"/>
    </w:rPr>
  </w:style>
  <w:style w:type="paragraph" w:customStyle="1" w:styleId="34">
    <w:name w:val="列出段落1"/>
    <w:basedOn w:val="1"/>
    <w:qFormat/>
    <w:uiPriority w:val="99"/>
    <w:pPr>
      <w:ind w:firstLine="420" w:firstLineChars="200"/>
    </w:pPr>
    <w:rPr>
      <w:rFonts w:ascii="Calibri" w:hAnsi="Calibri"/>
      <w:szCs w:val="22"/>
    </w:rPr>
  </w:style>
  <w:style w:type="paragraph" w:customStyle="1" w:styleId="35">
    <w:name w:val="att"/>
    <w:basedOn w:val="1"/>
    <w:qFormat/>
    <w:uiPriority w:val="0"/>
    <w:pPr>
      <w:spacing w:line="360" w:lineRule="auto"/>
    </w:pPr>
    <w:rPr>
      <w:rFonts w:eastAsia="楷体_GB2312"/>
      <w:sz w:val="24"/>
      <w:szCs w:val="20"/>
    </w:rPr>
  </w:style>
  <w:style w:type="character" w:customStyle="1" w:styleId="36">
    <w:name w:val="批注框文本 Char"/>
    <w:basedOn w:val="25"/>
    <w:link w:val="15"/>
    <w:qFormat/>
    <w:uiPriority w:val="0"/>
    <w:rPr>
      <w:kern w:val="2"/>
      <w:sz w:val="18"/>
      <w:szCs w:val="18"/>
    </w:rPr>
  </w:style>
  <w:style w:type="paragraph" w:styleId="37">
    <w:name w:val="List Paragraph"/>
    <w:basedOn w:val="1"/>
    <w:qFormat/>
    <w:uiPriority w:val="34"/>
    <w:pPr>
      <w:ind w:firstLine="420" w:firstLineChars="200"/>
    </w:p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fontstyle01"/>
    <w:basedOn w:val="25"/>
    <w:qFormat/>
    <w:uiPriority w:val="0"/>
    <w:rPr>
      <w:rFonts w:hint="default" w:ascii="FZFSK--GBK1-0" w:hAnsi="FZFSK--GBK1-0"/>
      <w:color w:val="333333"/>
      <w:sz w:val="24"/>
      <w:szCs w:val="24"/>
    </w:rPr>
  </w:style>
  <w:style w:type="character" w:customStyle="1" w:styleId="40">
    <w:name w:val="批注文字 Char"/>
    <w:basedOn w:val="25"/>
    <w:link w:val="9"/>
    <w:qFormat/>
    <w:uiPriority w:val="0"/>
    <w:rPr>
      <w:kern w:val="2"/>
      <w:sz w:val="21"/>
      <w:szCs w:val="24"/>
    </w:rPr>
  </w:style>
  <w:style w:type="character" w:customStyle="1" w:styleId="41">
    <w:name w:val="批注主题 Char"/>
    <w:basedOn w:val="40"/>
    <w:link w:val="20"/>
    <w:qFormat/>
    <w:uiPriority w:val="0"/>
    <w:rPr>
      <w:b/>
      <w:bCs/>
      <w:kern w:val="2"/>
      <w:sz w:val="21"/>
      <w:szCs w:val="24"/>
    </w:rPr>
  </w:style>
  <w:style w:type="paragraph" w:customStyle="1" w:styleId="4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font11"/>
    <w:basedOn w:val="25"/>
    <w:qFormat/>
    <w:uiPriority w:val="0"/>
    <w:rPr>
      <w:rFonts w:hint="eastAsia" w:ascii="宋体" w:hAnsi="宋体" w:eastAsia="宋体" w:cs="宋体"/>
      <w:color w:val="000000"/>
      <w:sz w:val="24"/>
      <w:szCs w:val="24"/>
      <w:u w:val="none"/>
    </w:rPr>
  </w:style>
  <w:style w:type="character" w:customStyle="1" w:styleId="44">
    <w:name w:val="font51"/>
    <w:basedOn w:val="25"/>
    <w:qFormat/>
    <w:uiPriority w:val="0"/>
    <w:rPr>
      <w:rFonts w:hint="default" w:ascii="Times New Roman" w:hAnsi="Times New Roman" w:cs="Times New Roman"/>
      <w:color w:val="000000"/>
      <w:sz w:val="24"/>
      <w:szCs w:val="24"/>
      <w:u w:val="none"/>
    </w:rPr>
  </w:style>
  <w:style w:type="character" w:customStyle="1" w:styleId="45">
    <w:name w:val="标题 4 Char"/>
    <w:basedOn w:val="25"/>
    <w:link w:val="6"/>
    <w:qFormat/>
    <w:uiPriority w:val="0"/>
    <w:rPr>
      <w:rFonts w:ascii="Cambria" w:hAnsi="Cambria"/>
      <w:b/>
      <w:bCs/>
      <w:kern w:val="2"/>
      <w:sz w:val="28"/>
      <w:szCs w:val="28"/>
      <w:lang w:val="zh-CN" w:eastAsia="zh-CN"/>
    </w:rPr>
  </w:style>
  <w:style w:type="paragraph" w:customStyle="1" w:styleId="46">
    <w:name w:val="正文（缩进）"/>
    <w:basedOn w:val="1"/>
    <w:next w:val="1"/>
    <w:autoRedefine/>
    <w:qFormat/>
    <w:uiPriority w:val="0"/>
    <w:pPr>
      <w:ind w:firstLine="960"/>
    </w:pPr>
    <w:rPr>
      <w:rFonts w:ascii="Calibri" w:hAnsi="Calibri"/>
      <w:spacing w:val="20"/>
      <w:kern w:val="0"/>
    </w:rPr>
  </w:style>
  <w:style w:type="table" w:customStyle="1" w:styleId="47">
    <w:name w:val="Table Normal"/>
    <w:basedOn w:val="23"/>
    <w:qFormat/>
    <w:uiPriority w:val="0"/>
    <w:tblPr>
      <w:tblCellMar>
        <w:left w:w="0" w:type="dxa"/>
        <w:right w:w="0" w:type="dxa"/>
      </w:tblCellMar>
    </w:tblPr>
  </w:style>
  <w:style w:type="paragraph" w:customStyle="1" w:styleId="48">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4072</Words>
  <Characters>4555</Characters>
  <Lines>71</Lines>
  <Paragraphs>20</Paragraphs>
  <TotalTime>0</TotalTime>
  <ScaleCrop>false</ScaleCrop>
  <LinksUpToDate>false</LinksUpToDate>
  <CharactersWithSpaces>4566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2025-09-24T02:35:00Z</dcterms:created>
  <dc:creator>user</dc:creator>
  <cp:lastModifiedBy>李怡</cp:lastModifiedBy>
  <dcterms:modified xsi:type="dcterms:W3CDTF">2025-12-05T07:28:13Z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CF423F089E744ED994E854D2AB35378B_13</vt:lpwstr>
  </property>
  <property fmtid="{D5CDD505-2E9C-101B-9397-08002B2CF9AE}" pid="4" name="KSOTemplateDocerSaveRecord">
    <vt:lpwstr>eyJoZGlkIjoiODlkMzE2MGQ5NDBhNWRhZDYzZDdmZjJjOTY4ZDdmZWEiLCJ1c2VySWQiOiIxMTczMDIyNzAxIn0=</vt:lpwstr>
  </property>
</Properties>
</file>