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lang w:val="en-US" w:eastAsia="zh-CN"/>
        </w:rPr>
        <w:t>数据库风险管控系统运维服务</w:t>
      </w:r>
      <w:r>
        <w:rPr>
          <w:rFonts w:hint="eastAsia" w:ascii="华文仿宋" w:hAnsi="华文仿宋" w:eastAsia="华文仿宋"/>
          <w:sz w:val="56"/>
          <w:szCs w:val="56"/>
        </w:rPr>
        <w:t>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default"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遴选编号：2025-ETLXXXB-0</w:t>
      </w:r>
      <w:r>
        <w:rPr>
          <w:rFonts w:hint="eastAsia" w:ascii="华文仿宋" w:hAnsi="华文仿宋" w:eastAsia="华文仿宋" w:cs="华文仿宋"/>
          <w:b/>
          <w:sz w:val="36"/>
          <w:szCs w:val="20"/>
          <w:lang w:val="en-US" w:eastAsia="zh-CN"/>
        </w:rPr>
        <w:t>14</w:t>
      </w:r>
    </w:p>
    <w:p w14:paraId="39F41592">
      <w:pPr>
        <w:pStyle w:val="16"/>
        <w:rPr>
          <w:rFonts w:ascii="华文仿宋" w:hAnsi="华文仿宋" w:eastAsia="华文仿宋" w:cs="华文仿宋"/>
          <w:sz w:val="36"/>
        </w:rPr>
      </w:pPr>
    </w:p>
    <w:p w14:paraId="52226836">
      <w:pPr>
        <w:pStyle w:val="16"/>
        <w:rPr>
          <w:rFonts w:ascii="华文仿宋" w:hAnsi="华文仿宋" w:eastAsia="华文仿宋" w:cs="华文仿宋"/>
          <w:sz w:val="36"/>
        </w:rPr>
      </w:pPr>
      <w:r>
        <w:rPr>
          <w:rFonts w:hint="eastAsia" w:ascii="华文仿宋" w:hAnsi="华文仿宋" w:eastAsia="华文仿宋" w:cs="华文仿宋"/>
          <w:sz w:val="36"/>
        </w:rPr>
        <w:t>2025年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30"/>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default" w:ascii="宋体" w:hAnsi="宋体" w:eastAsia="宋体" w:cs="宋体"/>
          <w:sz w:val="24"/>
          <w:lang w:val="en-US" w:eastAsia="zh-CN"/>
        </w:rPr>
      </w:pPr>
      <w:r>
        <w:rPr>
          <w:rFonts w:hint="eastAsia" w:ascii="宋体" w:hAnsi="宋体" w:cs="宋体"/>
          <w:sz w:val="24"/>
        </w:rPr>
        <w:t>遴选编号：2025-ETLXXXB-0</w:t>
      </w:r>
      <w:r>
        <w:rPr>
          <w:rFonts w:hint="eastAsia" w:ascii="宋体" w:hAnsi="宋体" w:cs="宋体"/>
          <w:sz w:val="24"/>
          <w:lang w:val="en-US" w:eastAsia="zh-CN"/>
        </w:rPr>
        <w:t>14</w:t>
      </w:r>
    </w:p>
    <w:p w14:paraId="6350636D">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lang w:val="en-US" w:eastAsia="zh-CN"/>
              </w:rPr>
              <w:t>数据库风险管控系统运维服务</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hint="default" w:ascii="宋体" w:hAnsi="宋体" w:eastAsia="宋体"/>
                <w:color w:val="FF0000"/>
                <w:szCs w:val="21"/>
                <w:lang w:val="en-US" w:eastAsia="zh-CN"/>
              </w:rPr>
            </w:pPr>
            <w:r>
              <w:rPr>
                <w:rFonts w:hint="eastAsia" w:ascii="宋体" w:hAnsi="宋体"/>
                <w:szCs w:val="21"/>
                <w:lang w:val="en-US" w:eastAsia="zh-CN"/>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5E1A7A09">
            <w:pPr>
              <w:jc w:val="center"/>
              <w:rPr>
                <w:rFonts w:hint="eastAsia"/>
              </w:rPr>
            </w:pPr>
            <w:r>
              <w:drawing>
                <wp:inline distT="0" distB="0" distL="114300" distR="114300">
                  <wp:extent cx="1458595" cy="1470025"/>
                  <wp:effectExtent l="0" t="0" r="4445" b="825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1458595" cy="1470025"/>
                          </a:xfrm>
                          <a:prstGeom prst="rect">
                            <a:avLst/>
                          </a:prstGeom>
                          <a:noFill/>
                          <a:ln>
                            <a:noFill/>
                          </a:ln>
                        </pic:spPr>
                      </pic:pic>
                    </a:graphicData>
                  </a:graphic>
                </wp:inline>
              </w:drawing>
            </w:r>
          </w:p>
          <w:p w14:paraId="4CFD3639">
            <w:pPr>
              <w:jc w:val="center"/>
            </w:pPr>
            <w:r>
              <w:rPr>
                <w:rFonts w:hint="eastAsia"/>
              </w:rPr>
              <w:t>https://gysgl.shchildren.com.cn:9088/supplier/hospital/visit?pc=40411306-40585953</w:t>
            </w:r>
          </w:p>
        </w:tc>
      </w:tr>
    </w:tbl>
    <w:p w14:paraId="7C0828AA">
      <w:pPr>
        <w:pStyle w:val="31"/>
        <w:autoSpaceDE w:val="0"/>
        <w:autoSpaceDN w:val="0"/>
        <w:spacing w:line="360" w:lineRule="exact"/>
        <w:ind w:left="0" w:firstLine="420"/>
        <w:jc w:val="left"/>
        <w:rPr>
          <w:rFonts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说明：以上包件可投一个或多个包件，每个包件必须单独提供遴选文件。</w:t>
      </w:r>
    </w:p>
    <w:p w14:paraId="459BF07C">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1"/>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1"/>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5年10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22</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30</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7"/>
          <w:rFonts w:hint="eastAsia" w:ascii="宋体" w:hAnsi="宋体" w:eastAsia="宋体"/>
          <w:sz w:val="24"/>
          <w:szCs w:val="24"/>
        </w:rPr>
        <w:t>https://www.shchildren.com.cn/channels/641.html</w:t>
      </w:r>
      <w:r>
        <w:rPr>
          <w:rStyle w:val="27"/>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1"/>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服务方案（格式自拟）；</w:t>
      </w:r>
    </w:p>
    <w:p w14:paraId="3221135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服务承诺（格式自拟）；</w:t>
      </w:r>
    </w:p>
    <w:p w14:paraId="089B3CBE">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1"/>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7"/>
          <w:rFonts w:hint="eastAsia" w:ascii="宋体" w:hAnsi="宋体" w:eastAsia="宋体" w:cs="宋体"/>
          <w:sz w:val="24"/>
          <w:szCs w:val="24"/>
        </w:rPr>
        <w:t>liyi@shchildren.com.cn</w:t>
      </w:r>
      <w:r>
        <w:rPr>
          <w:rStyle w:val="27"/>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1"/>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1"/>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1"/>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1"/>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7"/>
          <w:rFonts w:hint="eastAsia" w:ascii="宋体" w:hAnsi="宋体" w:cs="宋体"/>
          <w:sz w:val="24"/>
        </w:rPr>
        <w:fldChar w:fldCharType="begin"/>
      </w:r>
      <w:r>
        <w:rPr>
          <w:rStyle w:val="27"/>
          <w:rFonts w:hint="eastAsia" w:ascii="宋体" w:hAnsi="宋体" w:cs="宋体"/>
          <w:sz w:val="24"/>
        </w:rPr>
        <w:instrText xml:space="preserve"> HYPERLINK "mailto: baij@shchildren.com.cn" </w:instrText>
      </w:r>
      <w:r>
        <w:rPr>
          <w:rStyle w:val="27"/>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7"/>
          <w:rFonts w:hint="eastAsia" w:ascii="宋体" w:hAnsi="宋体" w:cs="宋体"/>
          <w:sz w:val="24"/>
        </w:rPr>
        <w:t>liyi@shchildren.com.cn</w:t>
      </w:r>
      <w:r>
        <w:rPr>
          <w:rStyle w:val="27"/>
          <w:rFonts w:hint="eastAsia" w:ascii="宋体" w:hAnsi="宋体" w:cs="宋体"/>
          <w:sz w:val="24"/>
        </w:rPr>
        <w:fldChar w:fldCharType="end"/>
      </w:r>
      <w:r>
        <w:rPr>
          <w:rStyle w:val="27"/>
          <w:rFonts w:hint="eastAsia" w:ascii="宋体" w:hAnsi="宋体" w:cs="宋体"/>
          <w:sz w:val="24"/>
        </w:rPr>
        <w:fldChar w:fldCharType="end"/>
      </w:r>
    </w:p>
    <w:p w14:paraId="1CF82D0B">
      <w:pPr>
        <w:numPr>
          <w:ilvl w:val="0"/>
          <w:numId w:val="2"/>
        </w:numPr>
        <w:snapToGrid w:val="0"/>
        <w:spacing w:line="360" w:lineRule="auto"/>
        <w:rPr>
          <w:rFonts w:ascii="宋体" w:hAnsi="宋体"/>
          <w:b/>
          <w:bCs/>
          <w:sz w:val="24"/>
        </w:rPr>
      </w:pPr>
      <w:r>
        <w:rPr>
          <w:rFonts w:hint="eastAsia" w:ascii="宋体" w:hAnsi="宋体"/>
          <w:b/>
          <w:bCs/>
          <w:sz w:val="24"/>
        </w:rPr>
        <w:t>遴选文件的内容</w:t>
      </w:r>
    </w:p>
    <w:p w14:paraId="6272BBBC">
      <w:pPr>
        <w:snapToGrid w:val="0"/>
        <w:spacing w:line="360" w:lineRule="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rPr>
          <w:rFonts w:ascii="宋体" w:hAnsi="宋体"/>
          <w:b/>
          <w:bCs/>
          <w:sz w:val="24"/>
        </w:rPr>
      </w:pPr>
      <w:r>
        <w:rPr>
          <w:rFonts w:hint="eastAsia" w:ascii="宋体" w:hAnsi="宋体"/>
          <w:b/>
          <w:bCs/>
          <w:sz w:val="24"/>
        </w:rPr>
        <w:t>遴选文件的澄清和解答</w:t>
      </w:r>
    </w:p>
    <w:p w14:paraId="26465961">
      <w:pPr>
        <w:snapToGrid w:val="0"/>
        <w:spacing w:line="360" w:lineRule="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rPr>
          <w:rFonts w:ascii="宋体" w:hAnsi="宋体"/>
          <w:b/>
          <w:bCs/>
          <w:sz w:val="24"/>
        </w:rPr>
      </w:pPr>
      <w:r>
        <w:rPr>
          <w:rFonts w:hint="eastAsia" w:ascii="宋体" w:hAnsi="宋体"/>
          <w:b/>
          <w:bCs/>
          <w:sz w:val="24"/>
        </w:rPr>
        <w:t>遴选文件的修改</w:t>
      </w:r>
    </w:p>
    <w:p w14:paraId="2FDFA105">
      <w:pPr>
        <w:snapToGrid w:val="0"/>
        <w:spacing w:line="360" w:lineRule="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1"/>
        <w:autoSpaceDE w:val="0"/>
        <w:autoSpaceDN w:val="0"/>
        <w:spacing w:line="360" w:lineRule="exact"/>
        <w:ind w:left="239" w:leftChars="114" w:firstLine="240" w:firstLineChars="10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10</w:t>
      </w:r>
      <w:r>
        <w:rPr>
          <w:rFonts w:hint="eastAsia" w:ascii="宋体" w:hAnsi="宋体" w:eastAsia="宋体" w:cs="宋体"/>
          <w:b/>
          <w:sz w:val="24"/>
          <w:szCs w:val="24"/>
        </w:rPr>
        <w:t>月</w:t>
      </w:r>
      <w:r>
        <w:rPr>
          <w:rFonts w:hint="eastAsia" w:ascii="宋体" w:hAnsi="宋体" w:eastAsia="宋体" w:cs="宋体"/>
          <w:b/>
          <w:sz w:val="24"/>
          <w:szCs w:val="24"/>
          <w:lang w:val="en-US" w:eastAsia="zh-CN"/>
        </w:rPr>
        <w:t xml:space="preserve">  31</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w:t>
      </w:r>
      <w:r>
        <w:rPr>
          <w:rFonts w:hint="eastAsia" w:ascii="宋体" w:hAnsi="宋体" w:eastAsia="宋体" w:cs="宋体"/>
          <w:b/>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10</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31</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1"/>
        <w:numPr>
          <w:ilvl w:val="0"/>
          <w:numId w:val="2"/>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D308575">
      <w:pPr>
        <w:pStyle w:val="20"/>
        <w:numPr>
          <w:ilvl w:val="0"/>
          <w:numId w:val="6"/>
        </w:numPr>
        <w:spacing w:line="288" w:lineRule="auto"/>
        <w:ind w:left="845"/>
        <w:rPr>
          <w:rFonts w:cs="宋体"/>
          <w:shd w:val="clear" w:color="auto" w:fill="auto"/>
        </w:rPr>
      </w:pPr>
      <w:r>
        <w:rPr>
          <w:rFonts w:hint="eastAsia" w:cs="宋体"/>
          <w:shd w:val="clear" w:color="auto" w:fill="auto"/>
        </w:rPr>
        <w:t>医院将根据质量和服务均能满足采购文件实质性响应要求综合评定的原则确定成交供应商。具体评分标准如下：</w:t>
      </w:r>
    </w:p>
    <w:tbl>
      <w:tblPr>
        <w:tblStyle w:val="21"/>
        <w:tblW w:w="8796" w:type="dxa"/>
        <w:tblInd w:w="0" w:type="dxa"/>
        <w:tblLayout w:type="fixed"/>
        <w:tblCellMar>
          <w:top w:w="0" w:type="dxa"/>
          <w:left w:w="108" w:type="dxa"/>
          <w:bottom w:w="0" w:type="dxa"/>
          <w:right w:w="108" w:type="dxa"/>
        </w:tblCellMar>
      </w:tblPr>
      <w:tblGrid>
        <w:gridCol w:w="864"/>
        <w:gridCol w:w="1334"/>
        <w:gridCol w:w="1053"/>
        <w:gridCol w:w="5545"/>
      </w:tblGrid>
      <w:tr w14:paraId="4EFDB761">
        <w:tblPrEx>
          <w:tblCellMar>
            <w:top w:w="0" w:type="dxa"/>
            <w:left w:w="108" w:type="dxa"/>
            <w:bottom w:w="0" w:type="dxa"/>
            <w:right w:w="108" w:type="dxa"/>
          </w:tblCellMar>
        </w:tblPrEx>
        <w:trPr>
          <w:trHeight w:val="767"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06EA4E4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65C8AF8F">
            <w:pPr>
              <w:widowControl/>
              <w:jc w:val="center"/>
              <w:textAlignment w:val="center"/>
              <w:rPr>
                <w:rFonts w:hint="eastAsia" w:ascii="宋体" w:hAnsi="宋体" w:cs="宋体"/>
                <w:color w:val="000000"/>
                <w:sz w:val="24"/>
              </w:rPr>
            </w:pPr>
            <w:r>
              <w:rPr>
                <w:rStyle w:val="41"/>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5F03F7A2">
            <w:pPr>
              <w:widowControl/>
              <w:jc w:val="center"/>
              <w:textAlignment w:val="center"/>
              <w:rPr>
                <w:rFonts w:hint="eastAsia" w:ascii="宋体" w:hAnsi="宋体" w:cs="宋体"/>
                <w:color w:val="000000"/>
                <w:sz w:val="24"/>
              </w:rPr>
            </w:pPr>
            <w:r>
              <w:rPr>
                <w:rFonts w:hint="eastAsia" w:ascii="宋体" w:hAnsi="宋体" w:cs="宋体"/>
                <w:color w:val="000000"/>
                <w:sz w:val="24"/>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363FF744">
            <w:pPr>
              <w:widowControl/>
              <w:jc w:val="center"/>
              <w:textAlignment w:val="center"/>
              <w:rPr>
                <w:rFonts w:hint="eastAsia" w:ascii="宋体" w:hAnsi="宋体" w:cs="宋体"/>
                <w:sz w:val="24"/>
              </w:rPr>
            </w:pPr>
            <w:r>
              <w:rPr>
                <w:rStyle w:val="41"/>
                <w:rFonts w:hint="default"/>
                <w:color w:val="auto"/>
                <w:lang w:bidi="ar"/>
              </w:rPr>
              <w:t>评分要点及说明</w:t>
            </w:r>
          </w:p>
        </w:tc>
      </w:tr>
      <w:tr w14:paraId="7758855E">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70EF9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65A518A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09B078FF">
            <w:pPr>
              <w:widowControl/>
              <w:jc w:val="center"/>
              <w:textAlignment w:val="center"/>
              <w:rPr>
                <w:rFonts w:hint="default" w:ascii="宋体" w:hAnsi="宋体" w:eastAsia="宋体" w:cs="宋体"/>
                <w:color w:val="000000"/>
                <w:sz w:val="24"/>
                <w:lang w:val="en-US" w:eastAsia="zh-CN"/>
              </w:rPr>
            </w:pPr>
            <w:r>
              <w:rPr>
                <w:rStyle w:val="41"/>
                <w:rFonts w:hint="eastAsia"/>
                <w:lang w:val="en-US" w:eastAsia="zh-CN"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521E8170">
            <w:pPr>
              <w:spacing w:line="460" w:lineRule="exact"/>
              <w:jc w:val="left"/>
              <w:rPr>
                <w:rFonts w:hint="eastAsia" w:ascii="宋体" w:hAnsi="宋体" w:cs="宋体"/>
                <w:sz w:val="24"/>
              </w:rPr>
            </w:pPr>
            <w:r>
              <w:rPr>
                <w:rFonts w:hint="eastAsia" w:ascii="宋体" w:hAnsi="宋体" w:cs="宋体"/>
                <w:sz w:val="24"/>
              </w:rPr>
              <w:t>N＝</w:t>
            </w:r>
            <w:r>
              <w:rPr>
                <w:rFonts w:hint="eastAsia" w:ascii="宋体" w:hAnsi="宋体" w:cs="宋体"/>
                <w:sz w:val="24"/>
                <w:lang w:val="en-US" w:eastAsia="zh-CN"/>
              </w:rPr>
              <w:t>20</w:t>
            </w:r>
            <w:r>
              <w:rPr>
                <w:rFonts w:hint="eastAsia" w:ascii="宋体" w:hAnsi="宋体" w:cs="宋体"/>
                <w:sz w:val="24"/>
              </w:rPr>
              <w:t>*所有投标中的有效最低投标报价/合格投标人的投标报价。说明：“N”表示报价得分；</w:t>
            </w:r>
          </w:p>
        </w:tc>
      </w:tr>
      <w:tr w14:paraId="5BDB8BB0">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A0165A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42A49C5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400EA10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0C455BB3">
            <w:pPr>
              <w:widowControl/>
              <w:textAlignment w:val="center"/>
              <w:rPr>
                <w:rFonts w:hint="eastAsia"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A241D9D">
        <w:tblPrEx>
          <w:tblCellMar>
            <w:top w:w="0" w:type="dxa"/>
            <w:left w:w="108" w:type="dxa"/>
            <w:bottom w:w="0" w:type="dxa"/>
            <w:right w:w="108" w:type="dxa"/>
          </w:tblCellMar>
        </w:tblPrEx>
        <w:trPr>
          <w:trHeight w:val="406"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08AB87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34D3FC7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实施方案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4389E48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7BC9DCAF">
            <w:pPr>
              <w:widowControl/>
              <w:textAlignment w:val="center"/>
              <w:rPr>
                <w:rFonts w:hint="eastAsia" w:ascii="宋体" w:hAnsi="宋体" w:cs="宋体"/>
                <w:color w:val="auto"/>
                <w:sz w:val="24"/>
              </w:rPr>
            </w:pPr>
            <w:r>
              <w:rPr>
                <w:rFonts w:ascii="宋体" w:hAnsi="宋体" w:eastAsia="宋体" w:cs="宋体"/>
                <w:b w:val="0"/>
                <w:color w:val="auto"/>
                <w:kern w:val="2"/>
                <w:sz w:val="24"/>
                <w:szCs w:val="22"/>
                <w:lang w:val="en-US" w:eastAsia="zh-CN" w:bidi="ar-SA"/>
              </w:rPr>
              <w:t>根据供应商提供的各阶段服务实施进度安排、工作流程、重点难点应对措施及特色服务等内容进行综合评审:
（1）内容科学合理有针对性的，得</w:t>
            </w:r>
            <w:r>
              <w:rPr>
                <w:rFonts w:hint="eastAsia" w:ascii="宋体" w:hAnsi="宋体" w:eastAsia="宋体" w:cs="宋体"/>
                <w:b w:val="0"/>
                <w:color w:val="auto"/>
                <w:kern w:val="2"/>
                <w:sz w:val="24"/>
                <w:szCs w:val="22"/>
                <w:lang w:val="en-US" w:eastAsia="zh-CN" w:bidi="ar-SA"/>
              </w:rPr>
              <w:t>14</w:t>
            </w:r>
            <w:r>
              <w:rPr>
                <w:rFonts w:ascii="宋体" w:hAnsi="宋体" w:eastAsia="宋体" w:cs="宋体"/>
                <w:b w:val="0"/>
                <w:color w:val="auto"/>
                <w:kern w:val="2"/>
                <w:sz w:val="24"/>
                <w:szCs w:val="22"/>
                <w:lang w:val="en-US" w:eastAsia="zh-CN" w:bidi="ar-SA"/>
              </w:rPr>
              <w:t>-</w:t>
            </w:r>
            <w:r>
              <w:rPr>
                <w:rFonts w:hint="eastAsia" w:ascii="宋体" w:hAnsi="宋体" w:eastAsia="宋体" w:cs="宋体"/>
                <w:b w:val="0"/>
                <w:color w:val="auto"/>
                <w:kern w:val="2"/>
                <w:sz w:val="24"/>
                <w:szCs w:val="22"/>
                <w:lang w:val="en-US" w:eastAsia="zh-CN" w:bidi="ar-SA"/>
              </w:rPr>
              <w:t>20</w:t>
            </w:r>
            <w:r>
              <w:rPr>
                <w:rFonts w:ascii="宋体" w:hAnsi="宋体" w:eastAsia="宋体" w:cs="宋体"/>
                <w:b w:val="0"/>
                <w:color w:val="auto"/>
                <w:kern w:val="2"/>
                <w:sz w:val="24"/>
                <w:szCs w:val="22"/>
                <w:lang w:val="en-US" w:eastAsia="zh-CN" w:bidi="ar-SA"/>
              </w:rPr>
              <w:t>分；
（2）内容较科学合理，针对性欠缺的，得</w:t>
            </w:r>
            <w:r>
              <w:rPr>
                <w:rFonts w:hint="eastAsia" w:ascii="宋体" w:hAnsi="宋体" w:eastAsia="宋体" w:cs="宋体"/>
                <w:b w:val="0"/>
                <w:color w:val="auto"/>
                <w:kern w:val="2"/>
                <w:sz w:val="24"/>
                <w:szCs w:val="22"/>
                <w:lang w:val="en-US" w:eastAsia="zh-CN" w:bidi="ar-SA"/>
              </w:rPr>
              <w:t>8</w:t>
            </w:r>
            <w:r>
              <w:rPr>
                <w:rFonts w:ascii="宋体" w:hAnsi="宋体" w:eastAsia="宋体" w:cs="宋体"/>
                <w:b w:val="0"/>
                <w:color w:val="auto"/>
                <w:kern w:val="2"/>
                <w:sz w:val="24"/>
                <w:szCs w:val="22"/>
                <w:lang w:val="en-US" w:eastAsia="zh-CN" w:bidi="ar-SA"/>
              </w:rPr>
              <w:t>-</w:t>
            </w:r>
            <w:r>
              <w:rPr>
                <w:rFonts w:hint="eastAsia" w:ascii="宋体" w:hAnsi="宋体" w:eastAsia="宋体" w:cs="宋体"/>
                <w:b w:val="0"/>
                <w:color w:val="auto"/>
                <w:kern w:val="2"/>
                <w:sz w:val="24"/>
                <w:szCs w:val="22"/>
                <w:lang w:val="en-US" w:eastAsia="zh-CN" w:bidi="ar-SA"/>
              </w:rPr>
              <w:t>14</w:t>
            </w:r>
            <w:r>
              <w:rPr>
                <w:rFonts w:ascii="宋体" w:hAnsi="宋体" w:eastAsia="宋体" w:cs="宋体"/>
                <w:b w:val="0"/>
                <w:color w:val="auto"/>
                <w:kern w:val="2"/>
                <w:sz w:val="24"/>
                <w:szCs w:val="22"/>
                <w:lang w:val="en-US" w:eastAsia="zh-CN" w:bidi="ar-SA"/>
              </w:rPr>
              <w:t>分；
（3）未提供或完全不满足需求，0-</w:t>
            </w:r>
            <w:r>
              <w:rPr>
                <w:rFonts w:hint="eastAsia" w:ascii="宋体" w:hAnsi="宋体" w:eastAsia="宋体" w:cs="宋体"/>
                <w:b w:val="0"/>
                <w:color w:val="auto"/>
                <w:kern w:val="2"/>
                <w:sz w:val="24"/>
                <w:szCs w:val="22"/>
                <w:lang w:val="en-US" w:eastAsia="zh-CN" w:bidi="ar-SA"/>
              </w:rPr>
              <w:t>7</w:t>
            </w:r>
            <w:r>
              <w:rPr>
                <w:rFonts w:ascii="宋体" w:hAnsi="宋体" w:eastAsia="宋体" w:cs="宋体"/>
                <w:b w:val="0"/>
                <w:color w:val="auto"/>
                <w:kern w:val="2"/>
                <w:sz w:val="24"/>
                <w:szCs w:val="22"/>
                <w:lang w:val="en-US" w:eastAsia="zh-CN" w:bidi="ar-SA"/>
              </w:rPr>
              <w:t>分。</w:t>
            </w:r>
          </w:p>
        </w:tc>
      </w:tr>
      <w:tr w14:paraId="65661DB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33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1A9DCAC8">
            <w:pPr>
              <w:widowControl/>
              <w:jc w:val="center"/>
              <w:textAlignment w:val="center"/>
              <w:rPr>
                <w:rFonts w:hint="default" w:ascii="宋体" w:hAnsi="宋体" w:cs="宋体"/>
                <w:color w:val="000000"/>
                <w:kern w:val="0"/>
                <w:sz w:val="24"/>
                <w:lang w:val="en-US" w:bidi="ar"/>
              </w:rPr>
            </w:pPr>
            <w:r>
              <w:rPr>
                <w:rFonts w:hint="eastAsia" w:ascii="宋体" w:hAnsi="宋体" w:cs="宋体"/>
                <w:b w:val="0"/>
                <w:color w:val="auto"/>
                <w:kern w:val="2"/>
                <w:sz w:val="24"/>
                <w:szCs w:val="22"/>
                <w:lang w:val="en-US" w:eastAsia="zh-CN" w:bidi="ar-SA"/>
              </w:rPr>
              <w:t>团队人员配置</w:t>
            </w:r>
          </w:p>
        </w:tc>
        <w:tc>
          <w:tcPr>
            <w:tcW w:w="1053" w:type="dxa"/>
            <w:tcBorders>
              <w:top w:val="single" w:color="000000" w:sz="4" w:space="0"/>
              <w:left w:val="single" w:color="000000" w:sz="4" w:space="0"/>
              <w:bottom w:val="single" w:color="000000" w:sz="4" w:space="0"/>
              <w:right w:val="single" w:color="000000" w:sz="4" w:space="0"/>
            </w:tcBorders>
            <w:vAlign w:val="center"/>
          </w:tcPr>
          <w:p w14:paraId="32791E2B">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15</w:t>
            </w:r>
          </w:p>
        </w:tc>
        <w:tc>
          <w:tcPr>
            <w:tcW w:w="5545" w:type="dxa"/>
            <w:tcBorders>
              <w:top w:val="single" w:color="000000" w:sz="4" w:space="0"/>
              <w:left w:val="single" w:color="000000" w:sz="4" w:space="0"/>
              <w:bottom w:val="single" w:color="000000" w:sz="4" w:space="0"/>
              <w:right w:val="single" w:color="000000" w:sz="4" w:space="0"/>
            </w:tcBorders>
            <w:vAlign w:val="center"/>
          </w:tcPr>
          <w:p w14:paraId="3A8A442C">
            <w:pPr>
              <w:widowControl/>
              <w:textAlignment w:val="center"/>
              <w:rPr>
                <w:rFonts w:hint="eastAsia" w:ascii="宋体" w:hAnsi="宋体" w:cs="宋体"/>
                <w:color w:val="auto"/>
                <w:spacing w:val="8"/>
                <w:kern w:val="0"/>
                <w:sz w:val="24"/>
              </w:rPr>
            </w:pPr>
            <w:r>
              <w:rPr>
                <w:rFonts w:ascii="宋体" w:hAnsi="宋体" w:eastAsia="宋体" w:cs="宋体"/>
                <w:b w:val="0"/>
                <w:color w:val="auto"/>
                <w:kern w:val="2"/>
                <w:sz w:val="24"/>
                <w:szCs w:val="22"/>
                <w:lang w:val="en-US" w:eastAsia="zh-CN" w:bidi="ar-SA"/>
              </w:rPr>
              <w:t>根据供应商提供拟投入项目团队人员的整体配备情况、岗位人员的数量和素质的优劣、人员专业水平、人员同类项目工作经验情况等内容综合评审：（1）人员充足完备、素质优、专业水平强、同类项目经验丰富的得</w:t>
            </w:r>
            <w:r>
              <w:rPr>
                <w:rFonts w:hint="eastAsia" w:ascii="宋体" w:hAnsi="宋体" w:eastAsia="宋体" w:cs="宋体"/>
                <w:b w:val="0"/>
                <w:color w:val="auto"/>
                <w:kern w:val="2"/>
                <w:sz w:val="24"/>
                <w:szCs w:val="22"/>
                <w:lang w:val="en-US" w:eastAsia="zh-CN" w:bidi="ar-SA"/>
              </w:rPr>
              <w:t>11</w:t>
            </w:r>
            <w:r>
              <w:rPr>
                <w:rFonts w:ascii="宋体" w:hAnsi="宋体" w:eastAsia="宋体" w:cs="宋体"/>
                <w:b w:val="0"/>
                <w:color w:val="auto"/>
                <w:kern w:val="2"/>
                <w:sz w:val="24"/>
                <w:szCs w:val="22"/>
                <w:lang w:val="en-US" w:eastAsia="zh-CN" w:bidi="ar-SA"/>
              </w:rPr>
              <w:t>-1</w:t>
            </w:r>
            <w:r>
              <w:rPr>
                <w:rFonts w:hint="eastAsia" w:ascii="宋体" w:hAnsi="宋体" w:eastAsia="宋体" w:cs="宋体"/>
                <w:b w:val="0"/>
                <w:color w:val="auto"/>
                <w:kern w:val="2"/>
                <w:sz w:val="24"/>
                <w:szCs w:val="22"/>
                <w:lang w:val="en-US" w:eastAsia="zh-CN" w:bidi="ar-SA"/>
              </w:rPr>
              <w:t>5</w:t>
            </w:r>
            <w:r>
              <w:rPr>
                <w:rFonts w:ascii="宋体" w:hAnsi="宋体" w:eastAsia="宋体" w:cs="宋体"/>
                <w:b w:val="0"/>
                <w:color w:val="auto"/>
                <w:kern w:val="2"/>
                <w:sz w:val="24"/>
                <w:szCs w:val="22"/>
                <w:lang w:val="en-US" w:eastAsia="zh-CN" w:bidi="ar-SA"/>
              </w:rPr>
              <w:t>分；
（2）人员较多、素质和专业水平一般、有一定同类项目经验的得</w:t>
            </w:r>
            <w:r>
              <w:rPr>
                <w:rFonts w:hint="eastAsia" w:ascii="宋体" w:hAnsi="宋体" w:eastAsia="宋体" w:cs="宋体"/>
                <w:b w:val="0"/>
                <w:color w:val="auto"/>
                <w:kern w:val="2"/>
                <w:sz w:val="24"/>
                <w:szCs w:val="22"/>
                <w:lang w:val="en-US" w:eastAsia="zh-CN" w:bidi="ar-SA"/>
              </w:rPr>
              <w:t>6</w:t>
            </w:r>
            <w:r>
              <w:rPr>
                <w:rFonts w:ascii="宋体" w:hAnsi="宋体" w:eastAsia="宋体" w:cs="宋体"/>
                <w:b w:val="0"/>
                <w:color w:val="auto"/>
                <w:kern w:val="2"/>
                <w:sz w:val="24"/>
                <w:szCs w:val="22"/>
                <w:lang w:val="en-US" w:eastAsia="zh-CN" w:bidi="ar-SA"/>
              </w:rPr>
              <w:t>-</w:t>
            </w:r>
            <w:r>
              <w:rPr>
                <w:rFonts w:hint="eastAsia" w:ascii="宋体" w:hAnsi="宋体" w:eastAsia="宋体" w:cs="宋体"/>
                <w:b w:val="0"/>
                <w:color w:val="auto"/>
                <w:kern w:val="2"/>
                <w:sz w:val="24"/>
                <w:szCs w:val="22"/>
                <w:lang w:val="en-US" w:eastAsia="zh-CN" w:bidi="ar-SA"/>
              </w:rPr>
              <w:t>10</w:t>
            </w:r>
            <w:r>
              <w:rPr>
                <w:rFonts w:ascii="宋体" w:hAnsi="宋体" w:eastAsia="宋体" w:cs="宋体"/>
                <w:b w:val="0"/>
                <w:color w:val="auto"/>
                <w:kern w:val="2"/>
                <w:sz w:val="24"/>
                <w:szCs w:val="22"/>
                <w:lang w:val="en-US" w:eastAsia="zh-CN" w:bidi="ar-SA"/>
              </w:rPr>
              <w:t>分；
（3）人员不够完整、素质和专业水平有所欠缺、同类项目经验较少的得0-</w:t>
            </w:r>
            <w:r>
              <w:rPr>
                <w:rFonts w:hint="eastAsia" w:ascii="宋体" w:hAnsi="宋体" w:eastAsia="宋体" w:cs="宋体"/>
                <w:b w:val="0"/>
                <w:color w:val="auto"/>
                <w:kern w:val="2"/>
                <w:sz w:val="24"/>
                <w:szCs w:val="22"/>
                <w:lang w:val="en-US" w:eastAsia="zh-CN" w:bidi="ar-SA"/>
              </w:rPr>
              <w:t>5</w:t>
            </w:r>
            <w:r>
              <w:rPr>
                <w:rFonts w:ascii="宋体" w:hAnsi="宋体" w:eastAsia="宋体" w:cs="宋体"/>
                <w:b w:val="0"/>
                <w:color w:val="auto"/>
                <w:kern w:val="2"/>
                <w:sz w:val="24"/>
                <w:szCs w:val="22"/>
                <w:lang w:val="en-US" w:eastAsia="zh-CN" w:bidi="ar-SA"/>
              </w:rPr>
              <w:t>分。</w:t>
            </w:r>
          </w:p>
        </w:tc>
      </w:tr>
      <w:tr w14:paraId="311B15DA">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A156">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79DA4EB8">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售后服务</w:t>
            </w:r>
          </w:p>
        </w:tc>
        <w:tc>
          <w:tcPr>
            <w:tcW w:w="1053" w:type="dxa"/>
            <w:tcBorders>
              <w:top w:val="single" w:color="000000" w:sz="4" w:space="0"/>
              <w:left w:val="single" w:color="000000" w:sz="4" w:space="0"/>
              <w:bottom w:val="single" w:color="000000" w:sz="4" w:space="0"/>
              <w:right w:val="single" w:color="000000" w:sz="4" w:space="0"/>
            </w:tcBorders>
            <w:vAlign w:val="center"/>
          </w:tcPr>
          <w:p w14:paraId="14FC05DD">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353F8B7F">
            <w:pPr>
              <w:widowControl/>
              <w:textAlignment w:val="center"/>
              <w:rPr>
                <w:rFonts w:ascii="宋体" w:hAnsi="宋体" w:eastAsia="宋体" w:cs="宋体"/>
                <w:b w:val="0"/>
                <w:color w:val="auto"/>
                <w:kern w:val="2"/>
                <w:sz w:val="24"/>
                <w:szCs w:val="22"/>
                <w:lang w:val="en-US" w:eastAsia="zh-CN" w:bidi="ar-SA"/>
              </w:rPr>
            </w:pPr>
            <w:r>
              <w:rPr>
                <w:rFonts w:hint="eastAsia" w:ascii="宋体" w:hAnsi="宋体" w:eastAsia="宋体" w:cs="宋体"/>
                <w:b w:val="0"/>
                <w:color w:val="auto"/>
                <w:kern w:val="2"/>
                <w:sz w:val="24"/>
                <w:szCs w:val="22"/>
                <w:lang w:val="en-US" w:eastAsia="zh-CN" w:bidi="ar-SA"/>
              </w:rPr>
              <w:t>根据投标人提供的售后服务方案、服务经验、技术支持和故障处理能力及时效性进行综合评审。（1）能够承诺保证有足够的人力、物力等资源保证按时按质按量完成委托的售后服务工作，提供优质服务，得7-10分；（2）基本能够保证按时按质按量完成委托的售后服务工作，得4-6分；3）不能保证按时按质按量完成委托的售后服务工作，得0-3分。</w:t>
            </w:r>
          </w:p>
        </w:tc>
      </w:tr>
      <w:tr w14:paraId="6F66192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F4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vAlign w:val="center"/>
          </w:tcPr>
          <w:p w14:paraId="2EAD5A5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4B6FFAD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7DF9B372">
            <w:pPr>
              <w:widowControl/>
              <w:textAlignment w:val="center"/>
              <w:rPr>
                <w:rFonts w:hint="eastAsia" w:ascii="宋体" w:hAnsi="宋体" w:cs="宋体"/>
                <w:color w:val="auto"/>
                <w:kern w:val="0"/>
                <w:sz w:val="24"/>
                <w:lang w:bidi="ar"/>
              </w:rPr>
            </w:pPr>
            <w:r>
              <w:rPr>
                <w:rFonts w:ascii="宋体" w:hAnsi="宋体" w:eastAsia="宋体" w:cs="宋体"/>
                <w:b w:val="0"/>
                <w:color w:val="auto"/>
                <w:kern w:val="2"/>
                <w:sz w:val="24"/>
                <w:szCs w:val="22"/>
                <w:lang w:val="en-US" w:eastAsia="zh-CN" w:bidi="ar-SA"/>
              </w:rPr>
              <w:t>根据投标人的整体实力、内部管理制度、人员结构、信誉荣誉等内容综合评分，管理制度科学健全，人员结构完善，相关荣誉证书丰富，得4-5分；管理制度较健全，人员结构较为完善，具有相关荣誉证书，得2-3分；管理制度存在不足，人员结构简单，相关荣誉证书欠缺，得0-1分。</w:t>
            </w:r>
          </w:p>
        </w:tc>
      </w:tr>
      <w:tr w14:paraId="14D99D28">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AE0711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vAlign w:val="center"/>
          </w:tcPr>
          <w:p w14:paraId="4F5F83E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类似项目经验</w:t>
            </w:r>
          </w:p>
        </w:tc>
        <w:tc>
          <w:tcPr>
            <w:tcW w:w="1053" w:type="dxa"/>
            <w:tcBorders>
              <w:top w:val="single" w:color="000000" w:sz="4" w:space="0"/>
              <w:left w:val="single" w:color="000000" w:sz="4" w:space="0"/>
              <w:bottom w:val="single" w:color="000000" w:sz="4" w:space="0"/>
              <w:right w:val="single" w:color="000000" w:sz="4" w:space="0"/>
            </w:tcBorders>
            <w:vAlign w:val="center"/>
          </w:tcPr>
          <w:p w14:paraId="1E541B1F">
            <w:pPr>
              <w:widowControl/>
              <w:jc w:val="center"/>
              <w:textAlignment w:val="center"/>
              <w:rPr>
                <w:rFonts w:hint="eastAsia" w:ascii="宋体" w:hAnsi="宋体" w:cs="宋体"/>
                <w:color w:val="000000"/>
                <w:sz w:val="24"/>
              </w:rPr>
            </w:pPr>
            <w:r>
              <w:rPr>
                <w:rStyle w:val="41"/>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1BA144D0">
            <w:pPr>
              <w:widowControl/>
              <w:textAlignment w:val="center"/>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22年</w:t>
            </w:r>
            <w:r>
              <w:rPr>
                <w:rFonts w:hint="eastAsia" w:ascii="宋体" w:hAnsi="宋体" w:cs="宋体"/>
                <w:spacing w:val="8"/>
                <w:kern w:val="0"/>
                <w:sz w:val="24"/>
                <w:lang w:val="en-US" w:eastAsia="zh-CN"/>
              </w:rPr>
              <w:t>9</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57A383ED">
      <w:pPr>
        <w:pStyle w:val="20"/>
        <w:spacing w:line="288" w:lineRule="auto"/>
        <w:ind w:left="0" w:firstLine="0"/>
        <w:rPr>
          <w:rFonts w:cs="宋体"/>
          <w:shd w:val="clear" w:color="auto" w:fill="auto"/>
        </w:rPr>
      </w:pPr>
    </w:p>
    <w:p w14:paraId="304EA55B">
      <w:pPr>
        <w:numPr>
          <w:ilvl w:val="0"/>
          <w:numId w:val="2"/>
        </w:numPr>
        <w:snapToGrid w:val="0"/>
        <w:spacing w:line="360" w:lineRule="auto"/>
        <w:rPr>
          <w:rFonts w:ascii="宋体" w:hAnsi="宋体"/>
          <w:b/>
          <w:sz w:val="24"/>
        </w:rPr>
      </w:pPr>
      <w:r>
        <w:rPr>
          <w:rFonts w:hint="eastAsia" w:ascii="宋体" w:hAnsi="宋体"/>
          <w:b/>
          <w:sz w:val="24"/>
        </w:rPr>
        <w:t>授予合同</w:t>
      </w:r>
    </w:p>
    <w:p w14:paraId="442A3B89">
      <w:pPr>
        <w:snapToGrid w:val="0"/>
        <w:spacing w:line="360" w:lineRule="auto"/>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rPr>
          <w:rFonts w:ascii="宋体" w:hAnsi="宋体"/>
          <w:b/>
          <w:sz w:val="24"/>
        </w:rPr>
      </w:pPr>
      <w:r>
        <w:rPr>
          <w:rFonts w:hint="eastAsia" w:ascii="宋体" w:hAnsi="宋体"/>
          <w:b/>
          <w:sz w:val="24"/>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rPr>
          <w:rFonts w:ascii="宋体" w:hAnsi="宋体"/>
          <w:b/>
          <w:sz w:val="24"/>
        </w:rPr>
      </w:pPr>
      <w:r>
        <w:rPr>
          <w:rFonts w:hint="eastAsia" w:ascii="宋体" w:hAnsi="宋体"/>
          <w:b/>
          <w:sz w:val="24"/>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ascii="宋体" w:hAnsi="宋体"/>
          <w:b/>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jc w:val="left"/>
        <w:rPr>
          <w:rFonts w:ascii="宋体" w:hAnsi="宋体"/>
          <w:b/>
          <w:sz w:val="24"/>
        </w:rPr>
      </w:pPr>
      <w:r>
        <w:rPr>
          <w:rFonts w:hint="eastAsia" w:ascii="宋体" w:hAnsi="宋体"/>
          <w:b/>
          <w:sz w:val="24"/>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7"/>
        <w:ind w:firstLine="0" w:firstLineChars="0"/>
        <w:jc w:val="left"/>
        <w:rPr>
          <w:b/>
          <w:sz w:val="24"/>
          <w:szCs w:val="24"/>
        </w:rPr>
      </w:pPr>
      <w:r>
        <w:rPr>
          <w:rFonts w:hint="eastAsia" w:ascii="宋体" w:hAnsi="宋体"/>
          <w:b/>
          <w:sz w:val="24"/>
          <w:szCs w:val="24"/>
        </w:rPr>
        <w:t>11</w:t>
      </w:r>
      <w:r>
        <w:rPr>
          <w:rFonts w:ascii="宋体" w:hAnsi="宋体"/>
          <w:b/>
          <w:sz w:val="24"/>
          <w:szCs w:val="24"/>
        </w:rPr>
        <w:t>.5</w:t>
      </w:r>
      <w:r>
        <w:rPr>
          <w:rFonts w:hint="eastAsia"/>
          <w:b/>
          <w:sz w:val="24"/>
          <w:szCs w:val="24"/>
        </w:rPr>
        <w:t>取消中选资格条件</w:t>
      </w:r>
    </w:p>
    <w:p w14:paraId="69AC3AE1">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.5.1</w:t>
      </w:r>
      <w:r>
        <w:rPr>
          <w:rFonts w:hint="eastAsia"/>
          <w:sz w:val="24"/>
          <w:szCs w:val="24"/>
        </w:rPr>
        <w:t>参选人如发生以下情况之一的将被取消中选资格：</w:t>
      </w:r>
    </w:p>
    <w:p w14:paraId="0D677FB6">
      <w:pPr>
        <w:pStyle w:val="7"/>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7"/>
        <w:ind w:firstLine="360"/>
        <w:jc w:val="left"/>
        <w:rPr>
          <w:sz w:val="24"/>
          <w:szCs w:val="24"/>
        </w:rPr>
      </w:pPr>
      <w:r>
        <w:rPr>
          <w:rFonts w:hint="eastAsia"/>
          <w:sz w:val="24"/>
          <w:szCs w:val="24"/>
        </w:rPr>
        <w:t>（2）中选人不履行参选文件所作的承诺；</w:t>
      </w:r>
    </w:p>
    <w:p w14:paraId="1CA4310E">
      <w:pPr>
        <w:pStyle w:val="7"/>
        <w:ind w:firstLine="360"/>
        <w:jc w:val="left"/>
        <w:rPr>
          <w:sz w:val="24"/>
          <w:szCs w:val="24"/>
        </w:rPr>
      </w:pPr>
      <w:r>
        <w:rPr>
          <w:rFonts w:hint="eastAsia"/>
          <w:sz w:val="24"/>
          <w:szCs w:val="24"/>
        </w:rPr>
        <w:t>（3）中选人有违法行为；</w:t>
      </w:r>
    </w:p>
    <w:p w14:paraId="23BF1A67">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.5.2</w:t>
      </w:r>
      <w:r>
        <w:rPr>
          <w:rFonts w:hint="eastAsia"/>
          <w:sz w:val="24"/>
          <w:szCs w:val="24"/>
        </w:rPr>
        <w:t>若发生中选人被取消中选资格的，则由发布人依照评委会推荐的中选候选人依序递补确定中选人。</w:t>
      </w:r>
    </w:p>
    <w:p w14:paraId="5D61F50F">
      <w:pPr>
        <w:rPr>
          <w:rFonts w:ascii="华文仿宋" w:hAnsi="华文仿宋" w:cs="华文仿宋"/>
        </w:rPr>
      </w:pPr>
    </w:p>
    <w:p w14:paraId="06387FC2">
      <w:pPr>
        <w:rPr>
          <w:rFonts w:ascii="华文仿宋" w:hAnsi="华文仿宋" w:cs="华文仿宋"/>
        </w:rPr>
      </w:pPr>
    </w:p>
    <w:p w14:paraId="3E25CA4D">
      <w:pPr>
        <w:pStyle w:val="9"/>
        <w:rPr>
          <w:rFonts w:ascii="华文仿宋" w:hAnsi="华文仿宋" w:cs="华文仿宋"/>
        </w:rPr>
      </w:pPr>
    </w:p>
    <w:p w14:paraId="065741EC">
      <w:pPr>
        <w:pStyle w:val="9"/>
        <w:rPr>
          <w:rFonts w:ascii="华文仿宋" w:hAnsi="华文仿宋" w:cs="华文仿宋"/>
        </w:rPr>
      </w:pPr>
    </w:p>
    <w:p w14:paraId="5048D999">
      <w:pPr>
        <w:pStyle w:val="9"/>
        <w:rPr>
          <w:rFonts w:ascii="华文仿宋" w:hAnsi="华文仿宋" w:cs="华文仿宋"/>
        </w:rPr>
      </w:pPr>
    </w:p>
    <w:p w14:paraId="641B5B32">
      <w:pPr>
        <w:pStyle w:val="9"/>
        <w:rPr>
          <w:rFonts w:ascii="华文仿宋" w:hAnsi="华文仿宋" w:cs="华文仿宋"/>
        </w:rPr>
      </w:pPr>
    </w:p>
    <w:p w14:paraId="7EE079ED">
      <w:pPr>
        <w:pStyle w:val="9"/>
        <w:rPr>
          <w:rFonts w:ascii="华文仿宋" w:hAnsi="华文仿宋" w:cs="华文仿宋"/>
        </w:rPr>
      </w:pPr>
    </w:p>
    <w:p w14:paraId="660A429F">
      <w:pPr>
        <w:pStyle w:val="9"/>
        <w:rPr>
          <w:rFonts w:ascii="华文仿宋" w:hAnsi="华文仿宋" w:cs="华文仿宋"/>
        </w:rPr>
      </w:pPr>
    </w:p>
    <w:p w14:paraId="3A4FD146">
      <w:pPr>
        <w:rPr>
          <w:rFonts w:ascii="华文仿宋" w:hAnsi="华文仿宋" w:cs="华文仿宋"/>
        </w:rPr>
      </w:pPr>
    </w:p>
    <w:p w14:paraId="26F8A7F8">
      <w:pPr>
        <w:rPr>
          <w:rFonts w:ascii="华文仿宋" w:hAnsi="华文仿宋" w:cs="华文仿宋"/>
        </w:rPr>
      </w:pPr>
      <w:r>
        <w:rPr>
          <w:rFonts w:hint="eastAsia" w:ascii="华文仿宋" w:hAnsi="华文仿宋" w:cs="华文仿宋"/>
        </w:rPr>
        <w:br w:type="page"/>
      </w:r>
    </w:p>
    <w:p w14:paraId="564A1AC4">
      <w:pPr>
        <w:pStyle w:val="30"/>
        <w:numPr>
          <w:ilvl w:val="0"/>
          <w:numId w:val="7"/>
        </w:numPr>
        <w:rPr>
          <w:rFonts w:ascii="华文仿宋" w:hAnsi="华文仿宋" w:cs="华文仿宋"/>
        </w:rPr>
      </w:pPr>
      <w:r>
        <w:rPr>
          <w:rFonts w:hint="eastAsia" w:ascii="华文仿宋" w:hAnsi="华文仿宋" w:cs="华文仿宋"/>
        </w:rPr>
        <w:t>遴选内容及要求</w:t>
      </w:r>
    </w:p>
    <w:p w14:paraId="274DA23D">
      <w:pPr>
        <w:numPr>
          <w:ilvl w:val="0"/>
          <w:numId w:val="8"/>
        </w:numPr>
        <w:spacing w:line="360" w:lineRule="auto"/>
        <w:rPr>
          <w:rFonts w:hint="eastAsia" w:ascii="宋体" w:hAnsi="宋体" w:eastAsia="宋体" w:cs="宋体"/>
          <w:b/>
          <w:sz w:val="24"/>
        </w:rPr>
      </w:pPr>
      <w:r>
        <w:rPr>
          <w:rFonts w:hint="eastAsia" w:ascii="宋体" w:hAnsi="宋体" w:eastAsia="宋体" w:cs="宋体"/>
          <w:b/>
          <w:sz w:val="24"/>
        </w:rPr>
        <w:t>项目</w:t>
      </w:r>
      <w:r>
        <w:rPr>
          <w:rFonts w:hint="eastAsia" w:ascii="宋体" w:hAnsi="宋体" w:eastAsia="宋体" w:cs="宋体"/>
          <w:b/>
          <w:sz w:val="24"/>
          <w:lang w:val="en-US" w:eastAsia="zh-CN"/>
        </w:rPr>
        <w:t>概述</w:t>
      </w:r>
      <w:r>
        <w:rPr>
          <w:rFonts w:hint="eastAsia" w:ascii="宋体" w:hAnsi="宋体" w:eastAsia="宋体" w:cs="宋体"/>
          <w:b/>
          <w:sz w:val="24"/>
        </w:rPr>
        <w:t>：</w:t>
      </w:r>
    </w:p>
    <w:p w14:paraId="2F64D3C0">
      <w:pPr>
        <w:tabs>
          <w:tab w:val="left" w:pos="993"/>
          <w:tab w:val="left" w:pos="1620"/>
        </w:tabs>
        <w:snapToGrid w:val="0"/>
        <w:spacing w:line="360" w:lineRule="auto"/>
        <w:rPr>
          <w:rFonts w:hint="eastAsia" w:ascii="宋体" w:hAnsi="宋体" w:eastAsia="宋体" w:cs="Arial"/>
          <w:sz w:val="24"/>
          <w:lang w:val="en-US" w:eastAsia="zh-CN"/>
        </w:rPr>
      </w:pPr>
      <w:r>
        <w:rPr>
          <w:rFonts w:hint="eastAsia" w:ascii="宋体" w:hAnsi="宋体" w:eastAsia="宋体" w:cs="Arial"/>
          <w:sz w:val="24"/>
          <w:lang w:val="en-US" w:eastAsia="zh-CN"/>
        </w:rPr>
        <w:t>1、项目名称：上海市儿童医院数据库风险管控系统运维服务项目</w:t>
      </w:r>
    </w:p>
    <w:p w14:paraId="72912EBE">
      <w:pPr>
        <w:tabs>
          <w:tab w:val="left" w:pos="993"/>
          <w:tab w:val="left" w:pos="1620"/>
        </w:tabs>
        <w:snapToGrid w:val="0"/>
        <w:spacing w:line="360" w:lineRule="auto"/>
        <w:rPr>
          <w:rFonts w:hint="eastAsia" w:ascii="宋体" w:hAnsi="宋体" w:eastAsia="宋体" w:cs="Arial"/>
          <w:sz w:val="24"/>
          <w:lang w:val="en-US" w:eastAsia="zh-CN"/>
        </w:rPr>
      </w:pPr>
      <w:r>
        <w:rPr>
          <w:rFonts w:hint="eastAsia" w:ascii="宋体" w:hAnsi="宋体" w:eastAsia="宋体" w:cs="Arial"/>
          <w:sz w:val="24"/>
          <w:lang w:val="en-US" w:eastAsia="zh-CN"/>
        </w:rPr>
        <w:t>2、</w:t>
      </w:r>
      <w:r>
        <w:rPr>
          <w:rFonts w:hint="eastAsia" w:ascii="宋体" w:hAnsi="宋体" w:cs="Arial"/>
          <w:sz w:val="24"/>
          <w:lang w:val="en-US" w:eastAsia="zh-CN"/>
        </w:rPr>
        <w:t>服务</w:t>
      </w:r>
      <w:r>
        <w:rPr>
          <w:rFonts w:hint="eastAsia" w:ascii="宋体" w:hAnsi="宋体" w:eastAsia="宋体" w:cs="Arial"/>
          <w:sz w:val="24"/>
          <w:lang w:val="en-US" w:eastAsia="zh-CN"/>
        </w:rPr>
        <w:t>地点：上海市儿童医院</w:t>
      </w:r>
    </w:p>
    <w:p w14:paraId="0ADD6DDF">
      <w:pPr>
        <w:tabs>
          <w:tab w:val="left" w:pos="993"/>
          <w:tab w:val="left" w:pos="1620"/>
        </w:tabs>
        <w:snapToGrid w:val="0"/>
        <w:spacing w:line="360" w:lineRule="auto"/>
        <w:rPr>
          <w:rFonts w:hint="default" w:ascii="宋体" w:hAnsi="宋体" w:eastAsia="宋体" w:cs="Arial"/>
          <w:sz w:val="24"/>
          <w:lang w:val="en-US" w:eastAsia="zh-CN"/>
        </w:rPr>
      </w:pPr>
      <w:r>
        <w:rPr>
          <w:rFonts w:hint="eastAsia" w:ascii="宋体" w:hAnsi="宋体" w:eastAsia="宋体" w:cs="Arial"/>
          <w:sz w:val="24"/>
          <w:lang w:val="en-US" w:eastAsia="zh-CN"/>
        </w:rPr>
        <w:t>3、</w:t>
      </w:r>
      <w:r>
        <w:rPr>
          <w:rFonts w:hint="eastAsia" w:ascii="宋体" w:hAnsi="宋体" w:cs="Arial"/>
          <w:sz w:val="24"/>
          <w:lang w:val="en-US" w:eastAsia="zh-CN"/>
        </w:rPr>
        <w:t>服务期限</w:t>
      </w:r>
      <w:r>
        <w:rPr>
          <w:rFonts w:hint="eastAsia" w:ascii="宋体" w:hAnsi="宋体" w:eastAsia="宋体" w:cs="Arial"/>
          <w:sz w:val="24"/>
          <w:lang w:val="en-US" w:eastAsia="zh-CN"/>
        </w:rPr>
        <w:t>：合同签订后3年，合同一年一签，评估合格后续签下一年合同。</w:t>
      </w:r>
    </w:p>
    <w:p w14:paraId="2E945CCA">
      <w:pPr>
        <w:tabs>
          <w:tab w:val="left" w:pos="993"/>
          <w:tab w:val="left" w:pos="1620"/>
        </w:tabs>
        <w:snapToGrid w:val="0"/>
        <w:spacing w:line="360" w:lineRule="auto"/>
        <w:rPr>
          <w:rFonts w:hint="default" w:ascii="宋体" w:hAnsi="宋体" w:eastAsia="宋体" w:cs="宋体"/>
          <w:b w:val="0"/>
          <w:bCs w:val="0"/>
          <w:shd w:val="clear" w:color="auto" w:fill="FFFFFF"/>
          <w:lang w:val="en-US" w:eastAsia="zh-CN"/>
        </w:rPr>
      </w:pPr>
      <w:r>
        <w:rPr>
          <w:rFonts w:hint="eastAsia" w:ascii="宋体" w:hAnsi="宋体" w:eastAsia="宋体" w:cs="宋体"/>
          <w:b w:val="0"/>
          <w:bCs w:val="0"/>
          <w:kern w:val="0"/>
          <w:sz w:val="24"/>
          <w:szCs w:val="24"/>
          <w:shd w:val="clear" w:color="auto" w:fill="FFFFFF"/>
          <w:lang w:val="en-US" w:eastAsia="zh-CN" w:bidi="ar-SA"/>
        </w:rPr>
        <w:t>4、付款方式：</w:t>
      </w:r>
      <w:r>
        <w:rPr>
          <w:rFonts w:ascii="宋体" w:hAnsi="宋体" w:eastAsia="宋体" w:cs="宋体"/>
          <w:b w:val="0"/>
          <w:color w:val="auto"/>
          <w:kern w:val="2"/>
          <w:sz w:val="24"/>
          <w:szCs w:val="22"/>
          <w:lang w:val="en-US" w:eastAsia="zh-CN" w:bidi="ar-SA"/>
        </w:rPr>
        <w:t>费用每年结算。双方签订合同且服务期开始后的30个工作日内，甲方收到乙方开具的发票，甲方向乙方支付当年费用的50％；当年项目服务期满，经甲方验收后的30个工作日内，甲方收到乙方开具的发票，甲方向乙方支付当年费用剩余的50％。</w:t>
      </w:r>
    </w:p>
    <w:p w14:paraId="4DEB5C09">
      <w:pPr>
        <w:pStyle w:val="32"/>
        <w:spacing w:line="360" w:lineRule="auto"/>
        <w:ind w:left="0" w:leftChars="0" w:firstLine="0" w:firstLineChars="0"/>
        <w:rPr>
          <w:rFonts w:hint="eastAsia" w:ascii="宋体" w:hAnsi="宋体" w:cs="宋体"/>
          <w:b/>
          <w:bCs/>
          <w:kern w:val="0"/>
          <w:sz w:val="24"/>
          <w:szCs w:val="24"/>
          <w:shd w:val="clear" w:color="auto" w:fill="FFFFFF"/>
          <w:lang w:val="en-US" w:eastAsia="zh-CN" w:bidi="ar-SA"/>
        </w:rPr>
      </w:pPr>
      <w:r>
        <w:rPr>
          <w:rFonts w:hint="eastAsia" w:ascii="宋体" w:hAnsi="宋体" w:eastAsia="宋体" w:cs="宋体"/>
          <w:b/>
          <w:bCs/>
          <w:kern w:val="0"/>
          <w:sz w:val="24"/>
          <w:szCs w:val="24"/>
          <w:shd w:val="clear" w:color="auto" w:fill="FFFFFF"/>
          <w:lang w:val="en-US" w:eastAsia="zh-CN" w:bidi="ar-SA"/>
        </w:rPr>
        <w:t>二、</w:t>
      </w:r>
      <w:r>
        <w:rPr>
          <w:rFonts w:hint="eastAsia" w:ascii="宋体" w:hAnsi="宋体" w:cs="宋体"/>
          <w:b/>
          <w:bCs/>
          <w:kern w:val="0"/>
          <w:sz w:val="24"/>
          <w:szCs w:val="24"/>
          <w:shd w:val="clear" w:color="auto" w:fill="FFFFFF"/>
          <w:lang w:val="en-US" w:eastAsia="zh-CN" w:bidi="ar-SA"/>
        </w:rPr>
        <w:t>运维服务目标</w:t>
      </w:r>
    </w:p>
    <w:p w14:paraId="3AA6F814">
      <w:pPr>
        <w:pStyle w:val="32"/>
        <w:spacing w:line="360" w:lineRule="auto"/>
        <w:ind w:left="0" w:leftChars="0" w:firstLine="420" w:firstLineChars="0"/>
        <w:rPr>
          <w:rFonts w:hint="eastAsia" w:ascii="宋体" w:hAnsi="宋体"/>
          <w:sz w:val="24"/>
          <w:szCs w:val="24"/>
        </w:rPr>
      </w:pPr>
      <w:r>
        <w:rPr>
          <w:rFonts w:hint="eastAsia" w:ascii="宋体" w:hAnsi="宋体"/>
          <w:sz w:val="24"/>
          <w:szCs w:val="24"/>
        </w:rPr>
        <w:t>全面管理上海市儿童医院内部数据库和运维人员的操作权限，减少或杜绝因现场人为数据库误操作带来的数据丢失、系统混乱等情况，降低操作风险，提高问题排查效率，保障医院软件信息系统持续运行，缩短信息系统故障处理时间，使医院信息系统更好的服务于业务部门，解除数据库管理、使用与维护后顾之忧，同时为医院建立一套信息安全运维管理体系，制度、技术和流程融为一体，加速推动体系落地。</w:t>
      </w:r>
    </w:p>
    <w:p w14:paraId="5136912D">
      <w:pPr>
        <w:pStyle w:val="32"/>
        <w:spacing w:line="360" w:lineRule="auto"/>
        <w:ind w:left="0" w:leftChars="0" w:firstLine="0" w:firstLineChars="0"/>
        <w:rPr>
          <w:rFonts w:hint="default" w:ascii="宋体" w:hAnsi="宋体" w:eastAsia="宋体" w:cs="宋体"/>
          <w:b/>
          <w:bCs/>
          <w:kern w:val="0"/>
          <w:sz w:val="24"/>
          <w:lang w:val="en-US" w:eastAsia="zh-CN"/>
        </w:rPr>
      </w:pPr>
      <w:r>
        <w:rPr>
          <w:rFonts w:hint="eastAsia" w:ascii="宋体" w:hAnsi="宋体"/>
          <w:sz w:val="24"/>
          <w:szCs w:val="24"/>
          <w:lang w:val="en-US" w:eastAsia="zh-CN"/>
        </w:rPr>
        <w:t>三、</w:t>
      </w:r>
      <w:r>
        <w:rPr>
          <w:rFonts w:hint="eastAsia" w:ascii="宋体" w:hAnsi="宋体" w:cs="宋体"/>
          <w:b/>
          <w:bCs/>
          <w:kern w:val="0"/>
          <w:sz w:val="24"/>
          <w:lang w:val="en-US" w:eastAsia="zh-CN"/>
        </w:rPr>
        <w:t>运维服务内容</w:t>
      </w:r>
    </w:p>
    <w:p w14:paraId="1CC5D3FE">
      <w:pPr>
        <w:pStyle w:val="35"/>
        <w:numPr>
          <w:ilvl w:val="0"/>
          <w:numId w:val="9"/>
        </w:numPr>
        <w:spacing w:line="360" w:lineRule="auto"/>
        <w:ind w:left="425" w:leftChars="0" w:hanging="425" w:firstLineChars="0"/>
        <w:rPr>
          <w:rFonts w:ascii="宋体" w:hAnsi="宋体"/>
          <w:sz w:val="24"/>
        </w:rPr>
      </w:pPr>
      <w:r>
        <w:rPr>
          <w:rFonts w:hint="eastAsia"/>
          <w:sz w:val="24"/>
        </w:rPr>
        <w:t>运维内容：</w:t>
      </w:r>
    </w:p>
    <w:p w14:paraId="31260FEA">
      <w:pPr>
        <w:pStyle w:val="35"/>
        <w:numPr>
          <w:ilvl w:val="1"/>
          <w:numId w:val="9"/>
        </w:numPr>
        <w:spacing w:line="360" w:lineRule="auto"/>
        <w:ind w:left="850" w:leftChars="0" w:hanging="453" w:firstLineChars="0"/>
        <w:rPr>
          <w:rFonts w:ascii="宋体" w:hAnsi="宋体"/>
          <w:sz w:val="24"/>
        </w:rPr>
      </w:pPr>
      <w:r>
        <w:rPr>
          <w:rFonts w:hint="eastAsia"/>
          <w:sz w:val="24"/>
        </w:rPr>
        <w:t>规范管理运维：全院所有数据库的统一维护与管理，业务系统厂商运维人员的维护与管理，数据库操作权限的管理，配置工具管控参数及白名单，提供数据操作日志管理，为所有操作数据库的运维人员提供工作台应用支撑。</w:t>
      </w:r>
    </w:p>
    <w:p w14:paraId="1C7DF17C">
      <w:pPr>
        <w:pStyle w:val="35"/>
        <w:numPr>
          <w:ilvl w:val="1"/>
          <w:numId w:val="9"/>
        </w:numPr>
        <w:spacing w:line="360" w:lineRule="auto"/>
        <w:ind w:left="850" w:leftChars="0" w:hanging="453" w:firstLineChars="0"/>
        <w:rPr>
          <w:rFonts w:ascii="宋体" w:hAnsi="宋体"/>
          <w:sz w:val="24"/>
        </w:rPr>
      </w:pPr>
      <w:r>
        <w:rPr>
          <w:rFonts w:hint="eastAsia" w:ascii="宋体" w:hAnsi="宋体"/>
          <w:sz w:val="24"/>
        </w:rPr>
        <w:t>风险管控运维：数据操作风险规则管理，对数据操作中存在风险的行为进行监控和拦截，提供风险审核的审核流程管理</w:t>
      </w:r>
      <w:r>
        <w:rPr>
          <w:rFonts w:hint="eastAsia" w:ascii="宋体" w:hAnsi="宋体"/>
          <w:sz w:val="24"/>
          <w:lang w:eastAsia="zh-CN"/>
        </w:rPr>
        <w:t>。</w:t>
      </w:r>
    </w:p>
    <w:p w14:paraId="13404111">
      <w:pPr>
        <w:pStyle w:val="35"/>
        <w:numPr>
          <w:ilvl w:val="1"/>
          <w:numId w:val="9"/>
        </w:numPr>
        <w:spacing w:line="360" w:lineRule="auto"/>
        <w:ind w:left="850" w:leftChars="0" w:hanging="453" w:firstLineChars="0"/>
        <w:rPr>
          <w:rFonts w:ascii="宋体" w:hAnsi="宋体"/>
          <w:sz w:val="24"/>
        </w:rPr>
      </w:pPr>
      <w:r>
        <w:rPr>
          <w:rFonts w:hint="eastAsia" w:ascii="宋体" w:hAnsi="宋体"/>
          <w:sz w:val="24"/>
        </w:rPr>
        <w:t>基线管理运维：配置业务系统数据库的所有对象及核心数据表基线，制定定时比对任务，提供基线变更统计报告。</w:t>
      </w:r>
    </w:p>
    <w:p w14:paraId="572D9127">
      <w:pPr>
        <w:pStyle w:val="35"/>
        <w:numPr>
          <w:ilvl w:val="1"/>
          <w:numId w:val="9"/>
        </w:numPr>
        <w:spacing w:line="360" w:lineRule="auto"/>
        <w:ind w:left="850" w:leftChars="0" w:hanging="453" w:firstLineChars="0"/>
        <w:rPr>
          <w:rFonts w:ascii="宋体" w:hAnsi="宋体"/>
          <w:sz w:val="24"/>
        </w:rPr>
      </w:pPr>
      <w:r>
        <w:rPr>
          <w:rFonts w:hint="eastAsia" w:ascii="宋体" w:hAnsi="宋体"/>
          <w:sz w:val="24"/>
        </w:rPr>
        <w:t>提供上述功能的工具软件（数据库风险管控系统）帮助医院信息科技术人员提升管理能力、提高工作效率。</w:t>
      </w:r>
    </w:p>
    <w:p w14:paraId="7A348D36">
      <w:pPr>
        <w:pStyle w:val="35"/>
        <w:numPr>
          <w:ilvl w:val="0"/>
          <w:numId w:val="9"/>
        </w:numPr>
        <w:spacing w:line="360" w:lineRule="auto"/>
        <w:ind w:left="425" w:leftChars="0" w:hanging="425" w:firstLineChars="0"/>
        <w:rPr>
          <w:rFonts w:ascii="宋体" w:hAnsi="宋体"/>
          <w:sz w:val="24"/>
        </w:rPr>
      </w:pPr>
      <w:r>
        <w:rPr>
          <w:rFonts w:hint="eastAsia"/>
          <w:sz w:val="24"/>
        </w:rPr>
        <w:t>服务周期：</w:t>
      </w:r>
    </w:p>
    <w:p w14:paraId="2AF3F205">
      <w:pPr>
        <w:tabs>
          <w:tab w:val="left" w:pos="993"/>
          <w:tab w:val="left" w:pos="1620"/>
        </w:tabs>
        <w:snapToGrid w:val="0"/>
        <w:spacing w:line="360" w:lineRule="auto"/>
        <w:rPr>
          <w:rFonts w:ascii="宋体" w:hAnsi="宋体"/>
          <w:sz w:val="24"/>
        </w:rPr>
      </w:pPr>
      <w:r>
        <w:rPr>
          <w:rFonts w:hint="eastAsia" w:ascii="宋体" w:hAnsi="宋体"/>
          <w:sz w:val="24"/>
        </w:rPr>
        <w:t>服务周期时间：</w:t>
      </w:r>
      <w:r>
        <w:rPr>
          <w:rFonts w:hint="eastAsia" w:ascii="宋体" w:hAnsi="宋体" w:eastAsia="宋体" w:cs="Arial"/>
          <w:sz w:val="24"/>
          <w:lang w:val="en-US" w:eastAsia="zh-CN"/>
        </w:rPr>
        <w:t>合同签订后3年，合同一年一签，评估合格后续签下一年合同。</w:t>
      </w:r>
    </w:p>
    <w:p w14:paraId="4901B932">
      <w:pPr>
        <w:keepNext/>
        <w:keepLines/>
        <w:numPr>
          <w:ilvl w:val="0"/>
          <w:numId w:val="0"/>
        </w:numPr>
        <w:tabs>
          <w:tab w:val="left" w:pos="540"/>
        </w:tabs>
        <w:autoSpaceDE w:val="0"/>
        <w:autoSpaceDN w:val="0"/>
        <w:adjustRightInd w:val="0"/>
        <w:spacing w:line="360" w:lineRule="auto"/>
        <w:ind w:leftChars="0"/>
        <w:rPr>
          <w:rFonts w:ascii="宋体" w:hAnsi="宋体" w:cs="宋体"/>
          <w:b/>
          <w:bCs/>
          <w:kern w:val="0"/>
          <w:sz w:val="24"/>
          <w:lang w:val="zh-CN"/>
        </w:rPr>
      </w:pPr>
      <w:r>
        <w:rPr>
          <w:rFonts w:hint="eastAsia" w:ascii="宋体" w:hAnsi="宋体" w:cs="宋体"/>
          <w:b/>
          <w:bCs/>
          <w:kern w:val="0"/>
          <w:sz w:val="24"/>
          <w:lang w:val="en-US" w:eastAsia="zh-CN"/>
        </w:rPr>
        <w:t>四、</w:t>
      </w:r>
      <w:r>
        <w:rPr>
          <w:rFonts w:hint="eastAsia" w:ascii="宋体" w:hAnsi="宋体" w:cs="宋体"/>
          <w:b/>
          <w:bCs/>
          <w:kern w:val="0"/>
          <w:sz w:val="24"/>
          <w:lang w:val="zh-CN"/>
        </w:rPr>
        <w:t>运维服务方式</w:t>
      </w:r>
    </w:p>
    <w:p w14:paraId="1CB368A7">
      <w:pPr>
        <w:pStyle w:val="35"/>
        <w:numPr>
          <w:ilvl w:val="0"/>
          <w:numId w:val="10"/>
        </w:numPr>
        <w:spacing w:line="360" w:lineRule="auto"/>
        <w:ind w:left="425" w:leftChars="0" w:hanging="425" w:firstLineChars="0"/>
        <w:rPr>
          <w:rFonts w:hint="eastAsia"/>
          <w:sz w:val="24"/>
        </w:rPr>
      </w:pPr>
      <w:r>
        <w:rPr>
          <w:rFonts w:hint="eastAsia"/>
          <w:sz w:val="24"/>
        </w:rPr>
        <w:t xml:space="preserve"> 电话支持服务</w:t>
      </w:r>
    </w:p>
    <w:p w14:paraId="68B9F4AB">
      <w:pPr>
        <w:pStyle w:val="35"/>
        <w:numPr>
          <w:ilvl w:val="0"/>
          <w:numId w:val="0"/>
        </w:numPr>
        <w:spacing w:line="360" w:lineRule="auto"/>
        <w:ind w:left="397" w:leftChars="0"/>
        <w:rPr>
          <w:rFonts w:hint="eastAsia"/>
          <w:sz w:val="24"/>
        </w:rPr>
      </w:pPr>
      <w:r>
        <w:rPr>
          <w:rFonts w:hint="eastAsia"/>
          <w:sz w:val="24"/>
        </w:rPr>
        <w:t>电话支持服务是一项基于电话的技术支持服务，需免费提供每周7天/每天24小时不间断的电话支持服务，解答院方在系统使用、维护过程中遇到的问题，及时提出解决问题的建议和操作方法。同时要求投标人提供高水平的技术工程师、完善的服务跟踪数据库，确保对相应的技术请求做出快速满意的回复。</w:t>
      </w:r>
    </w:p>
    <w:p w14:paraId="62E1C595">
      <w:pPr>
        <w:pStyle w:val="35"/>
        <w:numPr>
          <w:ilvl w:val="0"/>
          <w:numId w:val="10"/>
        </w:numPr>
        <w:spacing w:line="360" w:lineRule="auto"/>
        <w:ind w:left="425" w:leftChars="0" w:hanging="425" w:firstLineChars="0"/>
        <w:rPr>
          <w:rFonts w:hint="eastAsia"/>
          <w:sz w:val="24"/>
        </w:rPr>
      </w:pPr>
      <w:r>
        <w:rPr>
          <w:rFonts w:hint="eastAsia"/>
          <w:sz w:val="24"/>
        </w:rPr>
        <w:t xml:space="preserve"> 在线远程支持服务</w:t>
      </w:r>
    </w:p>
    <w:p w14:paraId="49D239AA">
      <w:pPr>
        <w:pStyle w:val="35"/>
        <w:numPr>
          <w:ilvl w:val="0"/>
          <w:numId w:val="0"/>
        </w:numPr>
        <w:spacing w:line="360" w:lineRule="auto"/>
        <w:ind w:left="397" w:leftChars="0"/>
        <w:rPr>
          <w:rFonts w:hint="eastAsia"/>
          <w:sz w:val="24"/>
        </w:rPr>
      </w:pPr>
      <w:r>
        <w:rPr>
          <w:rFonts w:hint="eastAsia"/>
          <w:sz w:val="24"/>
        </w:rPr>
        <w:t>对于电话咨询无法解决的问题，经招标方授权远程登录到院方网络系统进行免费的故障诊断和故障排除，以确保不会危害或违反医院的安全需要。</w:t>
      </w:r>
    </w:p>
    <w:p w14:paraId="7DDC86B0">
      <w:pPr>
        <w:pStyle w:val="35"/>
        <w:numPr>
          <w:ilvl w:val="0"/>
          <w:numId w:val="10"/>
        </w:numPr>
        <w:spacing w:line="360" w:lineRule="auto"/>
        <w:ind w:left="425" w:leftChars="0" w:hanging="425" w:firstLineChars="0"/>
        <w:rPr>
          <w:rFonts w:hint="eastAsia"/>
          <w:sz w:val="24"/>
        </w:rPr>
      </w:pPr>
      <w:r>
        <w:rPr>
          <w:rFonts w:hint="eastAsia"/>
          <w:sz w:val="24"/>
        </w:rPr>
        <w:t xml:space="preserve"> 定期巡查服务</w:t>
      </w:r>
    </w:p>
    <w:p w14:paraId="44F55FD9">
      <w:pPr>
        <w:pStyle w:val="35"/>
        <w:numPr>
          <w:ilvl w:val="0"/>
          <w:numId w:val="0"/>
        </w:numPr>
        <w:spacing w:line="360" w:lineRule="auto"/>
        <w:ind w:left="397" w:leftChars="0"/>
        <w:rPr>
          <w:rFonts w:hint="eastAsia"/>
          <w:sz w:val="24"/>
        </w:rPr>
      </w:pPr>
      <w:r>
        <w:rPr>
          <w:rFonts w:hint="eastAsia"/>
          <w:sz w:val="24"/>
        </w:rPr>
        <w:t>投标人需定期（每月一次）对系统进行检查、维护、诊断，倾听医院反馈，及时发现问题隐患，提交相应的报告（如系统运行报告等），保证系统稳定、高效的运行。每次巡访后，投标人提供巡访报告。</w:t>
      </w:r>
    </w:p>
    <w:p w14:paraId="65217B7A">
      <w:pPr>
        <w:pStyle w:val="35"/>
        <w:numPr>
          <w:ilvl w:val="0"/>
          <w:numId w:val="10"/>
        </w:numPr>
        <w:spacing w:line="360" w:lineRule="auto"/>
        <w:ind w:left="425" w:leftChars="0" w:hanging="425" w:firstLineChars="0"/>
        <w:rPr>
          <w:rFonts w:hint="eastAsia"/>
          <w:sz w:val="24"/>
        </w:rPr>
      </w:pPr>
      <w:r>
        <w:rPr>
          <w:rFonts w:hint="eastAsia"/>
          <w:sz w:val="24"/>
        </w:rPr>
        <w:t xml:space="preserve"> 现场技术服务</w:t>
      </w:r>
    </w:p>
    <w:p w14:paraId="078BF36F">
      <w:pPr>
        <w:pStyle w:val="35"/>
        <w:numPr>
          <w:ilvl w:val="0"/>
          <w:numId w:val="0"/>
        </w:numPr>
        <w:spacing w:line="360" w:lineRule="auto"/>
        <w:ind w:left="397" w:leftChars="0"/>
        <w:rPr>
          <w:rFonts w:hint="eastAsia"/>
          <w:sz w:val="24"/>
        </w:rPr>
      </w:pPr>
      <w:r>
        <w:rPr>
          <w:rFonts w:hint="eastAsia"/>
          <w:sz w:val="24"/>
        </w:rPr>
        <w:t>在使用中所遇到的电话等其他方式无法解决的疑难和故障，投标人需派专职技术人员到现场排除出现的软件故障，并分析故障原因，提出防范措施。</w:t>
      </w:r>
    </w:p>
    <w:p w14:paraId="4C51F28A">
      <w:pPr>
        <w:keepNext/>
        <w:keepLines/>
        <w:numPr>
          <w:ilvl w:val="0"/>
          <w:numId w:val="0"/>
        </w:numPr>
        <w:tabs>
          <w:tab w:val="left" w:pos="540"/>
        </w:tabs>
        <w:autoSpaceDE w:val="0"/>
        <w:autoSpaceDN w:val="0"/>
        <w:adjustRightInd w:val="0"/>
        <w:spacing w:line="360" w:lineRule="auto"/>
        <w:ind w:leftChars="0"/>
        <w:rPr>
          <w:rFonts w:ascii="宋体" w:hAnsi="宋体" w:cs="宋体"/>
          <w:b/>
          <w:bCs/>
          <w:kern w:val="0"/>
          <w:sz w:val="24"/>
          <w:lang w:val="zh-CN"/>
        </w:rPr>
      </w:pPr>
      <w:r>
        <w:rPr>
          <w:rFonts w:hint="eastAsia" w:ascii="宋体" w:hAnsi="宋体" w:cs="宋体"/>
          <w:b/>
          <w:bCs/>
          <w:kern w:val="0"/>
          <w:sz w:val="24"/>
          <w:lang w:val="en-US" w:eastAsia="zh-CN"/>
        </w:rPr>
        <w:t>五、</w:t>
      </w:r>
      <w:r>
        <w:rPr>
          <w:rFonts w:hint="eastAsia" w:ascii="宋体" w:hAnsi="宋体" w:cs="宋体"/>
          <w:b/>
          <w:bCs/>
          <w:kern w:val="0"/>
          <w:sz w:val="24"/>
          <w:lang w:val="zh-CN"/>
        </w:rPr>
        <w:t>服务响应时间</w:t>
      </w:r>
    </w:p>
    <w:p w14:paraId="41068969">
      <w:pPr>
        <w:pStyle w:val="35"/>
        <w:numPr>
          <w:ilvl w:val="0"/>
          <w:numId w:val="11"/>
        </w:numPr>
        <w:spacing w:line="360" w:lineRule="auto"/>
        <w:ind w:left="425" w:leftChars="0" w:hanging="425" w:firstLineChars="0"/>
        <w:rPr>
          <w:rFonts w:hint="eastAsia"/>
          <w:sz w:val="24"/>
        </w:rPr>
      </w:pPr>
      <w:r>
        <w:rPr>
          <w:rFonts w:hint="eastAsia"/>
          <w:sz w:val="24"/>
        </w:rPr>
        <w:t>响应时间</w:t>
      </w:r>
    </w:p>
    <w:p w14:paraId="75BE0DCC">
      <w:pPr>
        <w:pStyle w:val="35"/>
        <w:numPr>
          <w:ilvl w:val="0"/>
          <w:numId w:val="0"/>
        </w:numPr>
        <w:spacing w:line="360" w:lineRule="auto"/>
        <w:ind w:left="397" w:leftChars="0"/>
        <w:rPr>
          <w:rFonts w:hint="eastAsia"/>
          <w:sz w:val="24"/>
        </w:rPr>
      </w:pPr>
      <w:r>
        <w:rPr>
          <w:rFonts w:hint="eastAsia"/>
          <w:sz w:val="24"/>
        </w:rPr>
        <w:t>即时响应（包括电话响应），当用户发出疑问或咨询后，投标人须在工作时间30分钟内/非工作时间2小时内给予答复。</w:t>
      </w:r>
    </w:p>
    <w:p w14:paraId="01B565F0">
      <w:pPr>
        <w:pStyle w:val="35"/>
        <w:numPr>
          <w:ilvl w:val="0"/>
          <w:numId w:val="11"/>
        </w:numPr>
        <w:spacing w:line="360" w:lineRule="auto"/>
        <w:ind w:left="425" w:leftChars="0" w:hanging="425" w:firstLineChars="0"/>
        <w:rPr>
          <w:rFonts w:hint="eastAsia"/>
          <w:sz w:val="24"/>
        </w:rPr>
      </w:pPr>
      <w:r>
        <w:rPr>
          <w:rFonts w:hint="eastAsia"/>
          <w:sz w:val="24"/>
        </w:rPr>
        <w:t>修复时间</w:t>
      </w:r>
    </w:p>
    <w:p w14:paraId="2F74CD23">
      <w:pPr>
        <w:pStyle w:val="35"/>
        <w:numPr>
          <w:ilvl w:val="0"/>
          <w:numId w:val="0"/>
        </w:numPr>
        <w:spacing w:line="360" w:lineRule="auto"/>
        <w:ind w:left="397" w:leftChars="0"/>
        <w:rPr>
          <w:rFonts w:hint="eastAsia"/>
          <w:sz w:val="24"/>
        </w:rPr>
      </w:pPr>
      <w:r>
        <w:rPr>
          <w:rFonts w:hint="eastAsia"/>
          <w:sz w:val="24"/>
        </w:rPr>
        <w:t>如果发现有关系统质量的问题，投标人须在3小时内给予解决。若3小时内无法解决，需给出合理解释并提供详细的修复计划安排。</w:t>
      </w:r>
    </w:p>
    <w:p w14:paraId="45CDBF4C">
      <w:pPr>
        <w:pStyle w:val="35"/>
        <w:numPr>
          <w:ilvl w:val="0"/>
          <w:numId w:val="11"/>
        </w:numPr>
        <w:spacing w:line="360" w:lineRule="auto"/>
        <w:ind w:left="425" w:leftChars="0" w:hanging="425" w:firstLineChars="0"/>
        <w:rPr>
          <w:rFonts w:hint="eastAsia"/>
          <w:sz w:val="24"/>
        </w:rPr>
      </w:pPr>
      <w:r>
        <w:rPr>
          <w:rFonts w:hint="eastAsia"/>
          <w:sz w:val="24"/>
        </w:rPr>
        <w:t>重大情况响应</w:t>
      </w:r>
    </w:p>
    <w:p w14:paraId="408F5698">
      <w:pPr>
        <w:pStyle w:val="35"/>
        <w:numPr>
          <w:ilvl w:val="0"/>
          <w:numId w:val="0"/>
        </w:numPr>
        <w:spacing w:line="360" w:lineRule="auto"/>
        <w:ind w:left="397" w:leftChars="0"/>
        <w:rPr>
          <w:rFonts w:hint="eastAsia"/>
          <w:sz w:val="24"/>
        </w:rPr>
      </w:pPr>
      <w:r>
        <w:rPr>
          <w:rFonts w:hint="eastAsia"/>
          <w:sz w:val="24"/>
        </w:rPr>
        <w:t>对影响系统运行紧急故障提供7*24全天候响应，30分钟电话响应，重大情况3小时给予解决方案或到达现场服务。</w:t>
      </w:r>
    </w:p>
    <w:p w14:paraId="28FD99CA">
      <w:pPr>
        <w:pStyle w:val="30"/>
        <w:numPr>
          <w:ilvl w:val="0"/>
          <w:numId w:val="12"/>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3"/>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3"/>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3"/>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3"/>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3"/>
        </w:numPr>
        <w:spacing w:line="360" w:lineRule="auto"/>
        <w:rPr>
          <w:rFonts w:ascii="宋体" w:hAnsi="宋体"/>
          <w:sz w:val="28"/>
          <w:szCs w:val="28"/>
        </w:rPr>
      </w:pPr>
      <w:r>
        <w:rPr>
          <w:rFonts w:hint="eastAsia" w:ascii="宋体" w:hAnsi="宋体"/>
          <w:color w:val="000000"/>
          <w:sz w:val="28"/>
          <w:szCs w:val="28"/>
        </w:rPr>
        <w:t>技术规格偏离表</w:t>
      </w:r>
    </w:p>
    <w:p w14:paraId="5E7B1DDB">
      <w:pPr>
        <w:numPr>
          <w:ilvl w:val="1"/>
          <w:numId w:val="13"/>
        </w:numPr>
        <w:spacing w:line="360" w:lineRule="auto"/>
        <w:rPr>
          <w:rFonts w:ascii="宋体" w:hAnsi="宋体"/>
          <w:sz w:val="28"/>
          <w:szCs w:val="28"/>
        </w:rPr>
      </w:pPr>
      <w:r>
        <w:rPr>
          <w:rFonts w:hint="eastAsia" w:ascii="宋体" w:hAnsi="宋体"/>
          <w:sz w:val="28"/>
          <w:szCs w:val="28"/>
          <w:lang w:val="en-US" w:eastAsia="zh-CN"/>
        </w:rPr>
        <w:t>服务</w:t>
      </w:r>
      <w:r>
        <w:rPr>
          <w:rFonts w:hint="eastAsia" w:ascii="宋体" w:hAnsi="宋体"/>
          <w:sz w:val="28"/>
          <w:szCs w:val="28"/>
        </w:rPr>
        <w:t>方案</w:t>
      </w:r>
    </w:p>
    <w:p w14:paraId="2F007E07">
      <w:pPr>
        <w:numPr>
          <w:ilvl w:val="1"/>
          <w:numId w:val="13"/>
        </w:numPr>
        <w:spacing w:line="360" w:lineRule="auto"/>
        <w:rPr>
          <w:rFonts w:ascii="宋体" w:hAnsi="宋体"/>
          <w:sz w:val="28"/>
          <w:szCs w:val="28"/>
        </w:rPr>
      </w:pPr>
      <w:r>
        <w:rPr>
          <w:rFonts w:hint="eastAsia" w:ascii="宋体" w:hAnsi="宋体"/>
          <w:sz w:val="28"/>
          <w:szCs w:val="28"/>
        </w:rPr>
        <w:t>售后服务承诺书</w:t>
      </w:r>
    </w:p>
    <w:p w14:paraId="23E60EB6">
      <w:pPr>
        <w:numPr>
          <w:ilvl w:val="1"/>
          <w:numId w:val="13"/>
        </w:numPr>
        <w:spacing w:line="360" w:lineRule="auto"/>
        <w:rPr>
          <w:rFonts w:ascii="宋体" w:hAnsi="宋体"/>
          <w:sz w:val="28"/>
          <w:szCs w:val="28"/>
        </w:rPr>
      </w:pPr>
      <w:r>
        <w:rPr>
          <w:rFonts w:hint="eastAsia" w:ascii="宋体" w:hAnsi="宋体"/>
          <w:sz w:val="28"/>
          <w:szCs w:val="28"/>
        </w:rPr>
        <w:t>用户名单</w:t>
      </w:r>
    </w:p>
    <w:p w14:paraId="5BAB0C55">
      <w:pPr>
        <w:numPr>
          <w:ilvl w:val="1"/>
          <w:numId w:val="13"/>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30"/>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226575BD">
      <w:pPr>
        <w:pStyle w:val="16"/>
        <w:rPr>
          <w:rFonts w:ascii="华文仿宋" w:hAnsi="华文仿宋" w:eastAsia="华文仿宋"/>
          <w:sz w:val="60"/>
          <w:szCs w:val="60"/>
        </w:rPr>
      </w:pPr>
    </w:p>
    <w:p w14:paraId="453371D2">
      <w:pPr>
        <w:pStyle w:val="16"/>
        <w:rPr>
          <w:rFonts w:ascii="华文仿宋" w:hAnsi="华文仿宋" w:eastAsia="华文仿宋"/>
          <w:sz w:val="60"/>
          <w:szCs w:val="60"/>
        </w:rPr>
      </w:pPr>
    </w:p>
    <w:p w14:paraId="365B5F18">
      <w:pPr>
        <w:pStyle w:val="16"/>
        <w:rPr>
          <w:rFonts w:ascii="华文仿宋" w:hAnsi="华文仿宋" w:eastAsia="华文仿宋"/>
          <w:sz w:val="60"/>
          <w:szCs w:val="60"/>
        </w:rPr>
      </w:pPr>
    </w:p>
    <w:p w14:paraId="05A19F25">
      <w:pPr>
        <w:pStyle w:val="16"/>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BDC1864">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8E82270">
      <w:pPr>
        <w:pStyle w:val="9"/>
        <w:ind w:firstLine="420"/>
        <w:rPr>
          <w:rFonts w:hint="eastAsia" w:ascii="宋体" w:hAnsi="宋体" w:cs="宋体"/>
          <w:spacing w:val="8"/>
          <w:sz w:val="24"/>
        </w:rPr>
      </w:pPr>
      <w:r>
        <w:rPr>
          <w:rFonts w:hint="eastAsia" w:ascii="宋体" w:hAnsi="宋体" w:cs="宋体"/>
          <w:spacing w:val="8"/>
          <w:sz w:val="24"/>
        </w:rPr>
        <w:t>报价明细：</w:t>
      </w:r>
    </w:p>
    <w:p w14:paraId="563DD91E">
      <w:pPr>
        <w:pStyle w:val="9"/>
        <w:ind w:firstLine="420"/>
        <w:rPr>
          <w:rFonts w:hint="eastAsia" w:ascii="宋体" w:hAnsi="宋体" w:cs="宋体"/>
          <w:spacing w:val="8"/>
          <w:sz w:val="24"/>
        </w:rPr>
      </w:pP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hint="eastAsia"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hint="eastAsia"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hint="eastAsia"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hint="eastAsia"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hint="eastAsia"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hint="eastAsia"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hint="eastAsia" w:cs="宋体"/>
                <w:shd w:val="clear" w:color="auto" w:fill="auto"/>
              </w:rPr>
            </w:pPr>
          </w:p>
        </w:tc>
        <w:tc>
          <w:tcPr>
            <w:tcW w:w="2579" w:type="dxa"/>
            <w:vAlign w:val="center"/>
          </w:tcPr>
          <w:p w14:paraId="2B5F787C">
            <w:pPr>
              <w:pStyle w:val="20"/>
              <w:jc w:val="center"/>
              <w:rPr>
                <w:rFonts w:hint="eastAsia" w:cs="宋体"/>
                <w:shd w:val="clear" w:color="auto" w:fill="auto"/>
              </w:rPr>
            </w:pPr>
          </w:p>
        </w:tc>
        <w:tc>
          <w:tcPr>
            <w:tcW w:w="1951" w:type="dxa"/>
            <w:vAlign w:val="center"/>
          </w:tcPr>
          <w:p w14:paraId="00DD97AF">
            <w:pPr>
              <w:pStyle w:val="20"/>
              <w:jc w:val="center"/>
              <w:rPr>
                <w:rFonts w:hint="eastAsia" w:cs="宋体"/>
                <w:shd w:val="clear" w:color="auto" w:fill="auto"/>
              </w:rPr>
            </w:pPr>
          </w:p>
        </w:tc>
        <w:tc>
          <w:tcPr>
            <w:tcW w:w="1764" w:type="dxa"/>
            <w:vAlign w:val="center"/>
          </w:tcPr>
          <w:p w14:paraId="4554FDEF">
            <w:pPr>
              <w:pStyle w:val="20"/>
              <w:jc w:val="center"/>
              <w:rPr>
                <w:rFonts w:hint="eastAsia" w:cs="宋体"/>
                <w:shd w:val="clear" w:color="auto" w:fill="auto"/>
              </w:rPr>
            </w:pPr>
          </w:p>
        </w:tc>
        <w:tc>
          <w:tcPr>
            <w:tcW w:w="1620" w:type="dxa"/>
            <w:vAlign w:val="center"/>
          </w:tcPr>
          <w:p w14:paraId="645BD37B">
            <w:pPr>
              <w:pStyle w:val="20"/>
              <w:jc w:val="center"/>
              <w:rPr>
                <w:rFonts w:hint="eastAsia" w:cs="宋体"/>
                <w:shd w:val="clear" w:color="auto" w:fill="auto"/>
              </w:rPr>
            </w:pPr>
          </w:p>
        </w:tc>
        <w:tc>
          <w:tcPr>
            <w:tcW w:w="948" w:type="dxa"/>
            <w:vAlign w:val="center"/>
          </w:tcPr>
          <w:p w14:paraId="1CA3D610">
            <w:pPr>
              <w:pStyle w:val="20"/>
              <w:jc w:val="center"/>
              <w:rPr>
                <w:rFonts w:hint="eastAsia"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hint="eastAsia" w:cs="宋体"/>
                <w:shd w:val="clear" w:color="auto" w:fill="auto"/>
              </w:rPr>
            </w:pPr>
          </w:p>
        </w:tc>
        <w:tc>
          <w:tcPr>
            <w:tcW w:w="2579" w:type="dxa"/>
            <w:vAlign w:val="center"/>
          </w:tcPr>
          <w:p w14:paraId="7A301477">
            <w:pPr>
              <w:pStyle w:val="20"/>
              <w:jc w:val="center"/>
              <w:rPr>
                <w:rFonts w:hint="eastAsia" w:cs="宋体"/>
                <w:shd w:val="clear" w:color="auto" w:fill="auto"/>
              </w:rPr>
            </w:pPr>
          </w:p>
        </w:tc>
        <w:tc>
          <w:tcPr>
            <w:tcW w:w="1951" w:type="dxa"/>
            <w:vAlign w:val="center"/>
          </w:tcPr>
          <w:p w14:paraId="10A1B417">
            <w:pPr>
              <w:pStyle w:val="20"/>
              <w:jc w:val="center"/>
              <w:rPr>
                <w:rFonts w:hint="eastAsia" w:cs="宋体"/>
                <w:shd w:val="clear" w:color="auto" w:fill="auto"/>
              </w:rPr>
            </w:pPr>
          </w:p>
        </w:tc>
        <w:tc>
          <w:tcPr>
            <w:tcW w:w="1764" w:type="dxa"/>
            <w:vAlign w:val="center"/>
          </w:tcPr>
          <w:p w14:paraId="7421D991">
            <w:pPr>
              <w:pStyle w:val="20"/>
              <w:jc w:val="center"/>
              <w:rPr>
                <w:rFonts w:hint="eastAsia" w:cs="宋体"/>
                <w:shd w:val="clear" w:color="auto" w:fill="auto"/>
              </w:rPr>
            </w:pPr>
          </w:p>
        </w:tc>
        <w:tc>
          <w:tcPr>
            <w:tcW w:w="1620" w:type="dxa"/>
            <w:vAlign w:val="center"/>
          </w:tcPr>
          <w:p w14:paraId="1F4140D0">
            <w:pPr>
              <w:pStyle w:val="20"/>
              <w:jc w:val="center"/>
              <w:rPr>
                <w:rFonts w:hint="eastAsia" w:cs="宋体"/>
                <w:shd w:val="clear" w:color="auto" w:fill="auto"/>
              </w:rPr>
            </w:pPr>
          </w:p>
        </w:tc>
        <w:tc>
          <w:tcPr>
            <w:tcW w:w="948" w:type="dxa"/>
            <w:vAlign w:val="center"/>
          </w:tcPr>
          <w:p w14:paraId="290A5B31">
            <w:pPr>
              <w:pStyle w:val="20"/>
              <w:jc w:val="center"/>
              <w:rPr>
                <w:rFonts w:hint="eastAsia"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hint="eastAsia" w:cs="宋体"/>
                <w:shd w:val="clear" w:color="auto" w:fill="auto"/>
              </w:rPr>
            </w:pPr>
          </w:p>
        </w:tc>
        <w:tc>
          <w:tcPr>
            <w:tcW w:w="2579" w:type="dxa"/>
            <w:vAlign w:val="center"/>
          </w:tcPr>
          <w:p w14:paraId="4F9F817C">
            <w:pPr>
              <w:pStyle w:val="20"/>
              <w:jc w:val="center"/>
              <w:rPr>
                <w:rFonts w:hint="eastAsia" w:cs="宋体"/>
                <w:shd w:val="clear" w:color="auto" w:fill="auto"/>
              </w:rPr>
            </w:pPr>
          </w:p>
        </w:tc>
        <w:tc>
          <w:tcPr>
            <w:tcW w:w="1951" w:type="dxa"/>
            <w:vAlign w:val="center"/>
          </w:tcPr>
          <w:p w14:paraId="34EFB653">
            <w:pPr>
              <w:pStyle w:val="20"/>
              <w:jc w:val="center"/>
              <w:rPr>
                <w:rFonts w:hint="eastAsia" w:cs="宋体"/>
                <w:shd w:val="clear" w:color="auto" w:fill="auto"/>
              </w:rPr>
            </w:pPr>
          </w:p>
        </w:tc>
        <w:tc>
          <w:tcPr>
            <w:tcW w:w="1764" w:type="dxa"/>
            <w:vAlign w:val="center"/>
          </w:tcPr>
          <w:p w14:paraId="7AC78127">
            <w:pPr>
              <w:pStyle w:val="20"/>
              <w:jc w:val="center"/>
              <w:rPr>
                <w:rFonts w:hint="eastAsia" w:cs="宋体"/>
                <w:shd w:val="clear" w:color="auto" w:fill="auto"/>
              </w:rPr>
            </w:pPr>
          </w:p>
        </w:tc>
        <w:tc>
          <w:tcPr>
            <w:tcW w:w="1620" w:type="dxa"/>
            <w:vAlign w:val="center"/>
          </w:tcPr>
          <w:p w14:paraId="1FE14D34">
            <w:pPr>
              <w:pStyle w:val="20"/>
              <w:jc w:val="center"/>
              <w:rPr>
                <w:rFonts w:hint="eastAsia" w:cs="宋体"/>
                <w:shd w:val="clear" w:color="auto" w:fill="auto"/>
              </w:rPr>
            </w:pPr>
          </w:p>
        </w:tc>
        <w:tc>
          <w:tcPr>
            <w:tcW w:w="948" w:type="dxa"/>
            <w:vAlign w:val="center"/>
          </w:tcPr>
          <w:p w14:paraId="3058DB4C">
            <w:pPr>
              <w:pStyle w:val="20"/>
              <w:jc w:val="center"/>
              <w:rPr>
                <w:rFonts w:hint="eastAsia"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hint="eastAsia"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hint="eastAsia"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hint="eastAsia"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hint="eastAsia"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hint="eastAsia"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hint="eastAsia" w:cs="宋体"/>
                <w:shd w:val="clear" w:color="auto" w:fill="auto"/>
              </w:rPr>
            </w:pPr>
          </w:p>
        </w:tc>
      </w:tr>
    </w:tbl>
    <w:p w14:paraId="07111773">
      <w:pPr>
        <w:pStyle w:val="9"/>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4"/>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1"/>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ascii="宋体" w:hAnsi="宋体"/>
                <w:color w:val="000000"/>
                <w:sz w:val="22"/>
                <w:szCs w:val="22"/>
              </w:rPr>
            </w:pPr>
          </w:p>
        </w:tc>
        <w:tc>
          <w:tcPr>
            <w:tcW w:w="688" w:type="pct"/>
            <w:vAlign w:val="center"/>
          </w:tcPr>
          <w:p w14:paraId="53A01A62">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11346D45">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4"/>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5"/>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4"/>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6"/>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6"/>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6"/>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6"/>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6"/>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ascii="宋体" w:hAnsi="宋体"/>
          <w:sz w:val="24"/>
        </w:rPr>
      </w:pP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3"/>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3"/>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2DE693EF">
      <w:pPr>
        <w:pStyle w:val="33"/>
        <w:autoSpaceDE w:val="0"/>
        <w:autoSpaceDN w:val="0"/>
        <w:spacing w:before="120" w:after="120" w:line="240" w:lineRule="atLeast"/>
        <w:jc w:val="left"/>
        <w:rPr>
          <w:rFonts w:hint="eastAsia" w:ascii="宋体" w:hAnsi="宋体" w:eastAsia="宋体" w:cs="宋体"/>
          <w:szCs w:val="24"/>
        </w:rPr>
      </w:pPr>
    </w:p>
    <w:p w14:paraId="3B930E6B">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34BE93B1">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u w:val="single"/>
        </w:rPr>
      </w:pPr>
      <w:r>
        <w:rPr>
          <w:rFonts w:hint="eastAsia" w:ascii="宋体" w:hAnsi="宋体" w:eastAsia="宋体" w:cs="宋体"/>
          <w:szCs w:val="24"/>
          <w:lang w:val="en-US" w:eastAsia="zh-CN"/>
        </w:rPr>
        <w:t>法定代表人（投资人/负责人）</w:t>
      </w:r>
      <w:r>
        <w:rPr>
          <w:rFonts w:hint="eastAsia" w:ascii="宋体" w:hAnsi="宋体" w:eastAsia="宋体" w:cs="宋体"/>
          <w:szCs w:val="24"/>
        </w:rPr>
        <w:t>签字或</w:t>
      </w:r>
      <w:r>
        <w:rPr>
          <w:rFonts w:hint="eastAsia" w:ascii="宋体" w:hAnsi="宋体" w:eastAsia="宋体" w:cs="宋体"/>
          <w:szCs w:val="24"/>
          <w:lang w:val="en-US" w:eastAsia="zh-CN"/>
        </w:rPr>
        <w:t xml:space="preserve">盖章：  </w:t>
      </w:r>
      <w:r>
        <w:rPr>
          <w:rFonts w:hint="eastAsia" w:ascii="宋体" w:hAnsi="宋体" w:eastAsia="宋体" w:cs="宋体"/>
          <w:szCs w:val="24"/>
          <w:u w:val="single"/>
        </w:rPr>
        <w:tab/>
      </w:r>
    </w:p>
    <w:p w14:paraId="14D7B9D9">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rPr>
      </w:pPr>
      <w:r>
        <w:rPr>
          <w:rFonts w:hint="eastAsia" w:ascii="宋体" w:hAnsi="宋体" w:eastAsia="宋体" w:cs="宋体"/>
          <w:szCs w:val="24"/>
        </w:rPr>
        <w:t>被授权人签字</w:t>
      </w:r>
      <w:r>
        <w:rPr>
          <w:rFonts w:hint="eastAsia" w:ascii="宋体" w:hAnsi="宋体" w:eastAsia="宋体" w:cs="宋体"/>
          <w:szCs w:val="24"/>
          <w:lang w:val="en-US" w:eastAsia="zh-CN"/>
        </w:rPr>
        <w:t>或盖章</w:t>
      </w:r>
      <w:r>
        <w:rPr>
          <w:rFonts w:hint="eastAsia" w:ascii="宋体" w:hAnsi="宋体" w:eastAsia="宋体" w:cs="宋体"/>
          <w:szCs w:val="24"/>
        </w:rPr>
        <w:t>：</w:t>
      </w:r>
      <w:r>
        <w:rPr>
          <w:rFonts w:hint="eastAsia" w:ascii="宋体" w:hAnsi="宋体" w:eastAsia="宋体" w:cs="宋体"/>
          <w:szCs w:val="24"/>
        </w:rPr>
        <w:tab/>
      </w:r>
      <w:r>
        <w:rPr>
          <w:rFonts w:hint="eastAsia" w:ascii="宋体" w:hAnsi="宋体" w:eastAsia="宋体" w:cs="宋体"/>
          <w:szCs w:val="24"/>
          <w:u w:val="single"/>
        </w:rPr>
        <w:tab/>
      </w:r>
    </w:p>
    <w:p w14:paraId="6CB8AE07">
      <w:pPr>
        <w:rPr>
          <w:rFonts w:hint="eastAsia" w:ascii="宋体" w:hAnsi="宋体" w:cs="宋体"/>
          <w:bCs/>
          <w:color w:val="FF0000"/>
          <w:sz w:val="24"/>
          <w:szCs w:val="24"/>
        </w:rPr>
      </w:pPr>
    </w:p>
    <w:p w14:paraId="4C8896B3">
      <w:pPr>
        <w:rPr>
          <w:rFonts w:hint="eastAsia" w:ascii="宋体" w:hAnsi="宋体" w:cs="宋体"/>
          <w:bCs/>
          <w:color w:val="auto"/>
          <w:sz w:val="24"/>
          <w:szCs w:val="24"/>
        </w:rPr>
      </w:pPr>
      <w:r>
        <w:rPr>
          <w:rFonts w:hint="eastAsia" w:ascii="宋体" w:hAnsi="宋体" w:cs="宋体"/>
          <w:bCs/>
          <w:color w:val="auto"/>
          <w:sz w:val="24"/>
          <w:szCs w:val="24"/>
          <w:lang w:val="en-US" w:eastAsia="zh-CN"/>
        </w:rPr>
        <w:t>附</w:t>
      </w:r>
      <w:r>
        <w:rPr>
          <w:rFonts w:hint="eastAsia" w:ascii="宋体" w:hAnsi="宋体" w:cs="宋体"/>
          <w:bCs/>
          <w:color w:val="auto"/>
          <w:sz w:val="24"/>
          <w:szCs w:val="24"/>
        </w:rPr>
        <w:t>：</w:t>
      </w:r>
    </w:p>
    <w:p w14:paraId="373D6031">
      <w:pPr>
        <w:rPr>
          <w:rFonts w:hint="eastAsia" w:ascii="宋体" w:hAnsi="宋体" w:cs="宋体"/>
          <w:bCs/>
          <w:color w:val="auto"/>
          <w:sz w:val="24"/>
          <w:szCs w:val="24"/>
        </w:rPr>
      </w:pPr>
    </w:p>
    <w:p w14:paraId="76FF6D33">
      <w:pPr>
        <w:rPr>
          <w:rFonts w:hint="eastAsia" w:ascii="宋体" w:hAnsi="宋体" w:cs="宋体"/>
          <w:b w:val="0"/>
          <w:bCs/>
          <w:color w:val="auto"/>
          <w:sz w:val="24"/>
          <w:szCs w:val="24"/>
          <w:u w:val="single"/>
        </w:rPr>
      </w:pPr>
      <w:r>
        <w:rPr>
          <w:rFonts w:hint="eastAsia" w:ascii="宋体" w:hAnsi="宋体" w:cs="宋体"/>
          <w:b w:val="0"/>
          <w:bCs/>
          <w:color w:val="auto"/>
          <w:sz w:val="24"/>
          <w:szCs w:val="24"/>
          <w:u w:val="single"/>
          <w:lang w:val="en-US" w:eastAsia="zh-CN"/>
        </w:rPr>
        <w:t>1、</w:t>
      </w:r>
      <w:r>
        <w:rPr>
          <w:rFonts w:hint="eastAsia" w:ascii="宋体" w:hAnsi="宋体" w:cs="宋体"/>
          <w:b w:val="0"/>
          <w:bCs/>
          <w:color w:val="auto"/>
          <w:sz w:val="24"/>
          <w:szCs w:val="24"/>
          <w:u w:val="single"/>
        </w:rPr>
        <w:t>请另附上法定代表人（投资人/负责人）及被授权人的身份证（正反两面）或其他有效证件的复印件各一份。</w:t>
      </w:r>
    </w:p>
    <w:tbl>
      <w:tblPr>
        <w:tblStyle w:val="21"/>
        <w:tblpPr w:leftFromText="180" w:rightFromText="180" w:vertAnchor="text" w:horzAnchor="page" w:tblpX="1201" w:tblpY="283"/>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14:paraId="185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4580" w:type="dxa"/>
            <w:noWrap w:val="0"/>
            <w:vAlign w:val="center"/>
          </w:tcPr>
          <w:p w14:paraId="0E00E74E">
            <w:pPr>
              <w:autoSpaceDE w:val="0"/>
              <w:autoSpaceDN w:val="0"/>
              <w:jc w:val="center"/>
              <w:textAlignment w:val="bottom"/>
              <w:rPr>
                <w:rFonts w:hint="eastAsia" w:ascii="宋体" w:hAnsi="宋体" w:cs="宋体"/>
                <w:sz w:val="24"/>
                <w:szCs w:val="24"/>
              </w:rPr>
            </w:pPr>
            <w:r>
              <w:rPr>
                <w:rFonts w:hint="eastAsia" w:ascii="宋体" w:hAnsi="宋体" w:cs="宋体"/>
                <w:sz w:val="24"/>
                <w:szCs w:val="24"/>
                <w:lang w:val="en-US" w:eastAsia="zh-CN"/>
              </w:rPr>
              <w:t>法定代表人（投资人/负责人）</w:t>
            </w:r>
            <w:r>
              <w:rPr>
                <w:rFonts w:hint="eastAsia" w:ascii="宋体" w:hAnsi="宋体" w:cs="宋体"/>
                <w:sz w:val="24"/>
                <w:szCs w:val="24"/>
              </w:rPr>
              <w:t>身份证正面粘贴处</w:t>
            </w:r>
          </w:p>
        </w:tc>
        <w:tc>
          <w:tcPr>
            <w:tcW w:w="4580" w:type="dxa"/>
            <w:noWrap w:val="0"/>
            <w:vAlign w:val="center"/>
          </w:tcPr>
          <w:p w14:paraId="0A915EB0">
            <w:pPr>
              <w:autoSpaceDE w:val="0"/>
              <w:autoSpaceDN w:val="0"/>
              <w:jc w:val="center"/>
              <w:textAlignment w:val="bottom"/>
              <w:rPr>
                <w:rFonts w:hint="eastAsia" w:ascii="宋体" w:hAnsi="宋体" w:cs="宋体"/>
                <w:sz w:val="24"/>
                <w:szCs w:val="24"/>
              </w:rPr>
            </w:pPr>
            <w:r>
              <w:rPr>
                <w:rFonts w:hint="eastAsia" w:ascii="宋体" w:hAnsi="宋体" w:cs="宋体"/>
                <w:sz w:val="24"/>
                <w:szCs w:val="24"/>
                <w:lang w:val="en-US" w:eastAsia="zh-CN"/>
              </w:rPr>
              <w:t>法定代表人（投资人/负责人）</w:t>
            </w:r>
            <w:r>
              <w:rPr>
                <w:rFonts w:hint="eastAsia" w:ascii="宋体" w:hAnsi="宋体" w:cs="宋体"/>
                <w:sz w:val="24"/>
                <w:szCs w:val="24"/>
              </w:rPr>
              <w:t>身份证反面粘贴处</w:t>
            </w:r>
          </w:p>
        </w:tc>
      </w:tr>
      <w:tr w14:paraId="7E1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4580" w:type="dxa"/>
            <w:noWrap w:val="0"/>
            <w:vAlign w:val="center"/>
          </w:tcPr>
          <w:p w14:paraId="49243F10">
            <w:pPr>
              <w:autoSpaceDE w:val="0"/>
              <w:autoSpaceDN w:val="0"/>
              <w:jc w:val="center"/>
              <w:textAlignment w:val="bottom"/>
              <w:rPr>
                <w:rFonts w:hint="eastAsia" w:ascii="宋体" w:hAnsi="宋体" w:cs="宋体"/>
                <w:sz w:val="24"/>
                <w:szCs w:val="24"/>
              </w:rPr>
            </w:pPr>
            <w:r>
              <w:rPr>
                <w:rFonts w:hint="eastAsia" w:ascii="宋体" w:hAnsi="宋体" w:cs="宋体"/>
                <w:sz w:val="24"/>
                <w:szCs w:val="24"/>
              </w:rPr>
              <w:t>被授权人身份证正面粘贴处</w:t>
            </w:r>
          </w:p>
        </w:tc>
        <w:tc>
          <w:tcPr>
            <w:tcW w:w="4580" w:type="dxa"/>
            <w:noWrap w:val="0"/>
            <w:vAlign w:val="center"/>
          </w:tcPr>
          <w:p w14:paraId="2A6C5C9B">
            <w:pPr>
              <w:autoSpaceDE w:val="0"/>
              <w:autoSpaceDN w:val="0"/>
              <w:jc w:val="center"/>
              <w:textAlignment w:val="bottom"/>
              <w:rPr>
                <w:rFonts w:hint="eastAsia" w:ascii="宋体" w:hAnsi="宋体" w:cs="宋体"/>
                <w:sz w:val="24"/>
                <w:szCs w:val="24"/>
              </w:rPr>
            </w:pPr>
            <w:r>
              <w:rPr>
                <w:rFonts w:hint="eastAsia" w:ascii="宋体" w:hAnsi="宋体" w:cs="宋体"/>
                <w:sz w:val="24"/>
                <w:szCs w:val="24"/>
              </w:rPr>
              <w:t>被授权人身份证反面粘贴处</w:t>
            </w:r>
          </w:p>
        </w:tc>
      </w:tr>
    </w:tbl>
    <w:p w14:paraId="5010E371"/>
    <w:p w14:paraId="39E7481F">
      <w:pPr>
        <w:numPr>
          <w:ilvl w:val="0"/>
          <w:numId w:val="17"/>
        </w:numPr>
        <w:rPr>
          <w:rFonts w:hint="eastAsia" w:ascii="宋体" w:hAnsi="宋体" w:cs="宋体"/>
          <w:b/>
          <w:bCs w:val="0"/>
          <w:color w:val="FF0000"/>
          <w:sz w:val="24"/>
          <w:szCs w:val="24"/>
          <w:u w:val="single"/>
          <w:lang w:val="en-US" w:eastAsia="zh-CN"/>
        </w:rPr>
      </w:pPr>
      <w:r>
        <w:rPr>
          <w:rFonts w:hint="eastAsia" w:ascii="宋体" w:hAnsi="宋体" w:cs="宋体"/>
          <w:b/>
          <w:bCs w:val="0"/>
          <w:color w:val="FF0000"/>
          <w:sz w:val="24"/>
          <w:szCs w:val="24"/>
          <w:u w:val="single"/>
          <w:lang w:val="en-US" w:eastAsia="zh-CN"/>
        </w:rPr>
        <w:t>被授权人依法缴纳社保证明复印件(要求提供投标截止日前半年内任意一个月的证明材料)</w:t>
      </w:r>
    </w:p>
    <w:p w14:paraId="1DFAAA1D">
      <w:pPr>
        <w:numPr>
          <w:ilvl w:val="0"/>
          <w:numId w:val="0"/>
        </w:numPr>
        <w:rPr>
          <w:rFonts w:hint="eastAsia" w:ascii="宋体" w:hAnsi="宋体" w:cs="宋体"/>
          <w:bCs/>
          <w:color w:val="auto"/>
          <w:sz w:val="24"/>
          <w:szCs w:val="24"/>
          <w:lang w:val="en-US" w:eastAsia="zh-CN"/>
        </w:rPr>
      </w:pPr>
    </w:p>
    <w:p w14:paraId="297D3ABC">
      <w:pPr>
        <w:numPr>
          <w:ilvl w:val="0"/>
          <w:numId w:val="0"/>
        </w:numPr>
        <w:rPr>
          <w:rFonts w:hint="eastAsia" w:ascii="宋体" w:hAnsi="宋体" w:cs="宋体"/>
          <w:bCs/>
          <w:color w:val="auto"/>
          <w:sz w:val="24"/>
          <w:szCs w:val="24"/>
          <w:lang w:val="en-US" w:eastAsia="zh-CN"/>
        </w:rPr>
      </w:pPr>
    </w:p>
    <w:p w14:paraId="53C9938B">
      <w:pPr>
        <w:numPr>
          <w:ilvl w:val="0"/>
          <w:numId w:val="0"/>
        </w:numPr>
        <w:rPr>
          <w:rFonts w:hint="eastAsia" w:ascii="宋体" w:hAnsi="宋体" w:cs="宋体"/>
          <w:bCs/>
          <w:color w:val="auto"/>
          <w:sz w:val="24"/>
          <w:szCs w:val="24"/>
          <w:lang w:val="en-US" w:eastAsia="zh-CN"/>
        </w:rPr>
      </w:pPr>
    </w:p>
    <w:p w14:paraId="0C8B80F6">
      <w:pPr>
        <w:rPr>
          <w:rFonts w:hint="eastAsia" w:ascii="宋体" w:hAnsi="宋体" w:cs="宋体"/>
          <w:b/>
          <w:bCs w:val="0"/>
          <w:color w:val="auto"/>
          <w:sz w:val="24"/>
          <w:szCs w:val="24"/>
          <w:u w:val="single"/>
          <w:lang w:val="en-US" w:eastAsia="zh-CN"/>
        </w:rPr>
      </w:pPr>
      <w:r>
        <w:rPr>
          <w:rFonts w:hint="eastAsia" w:ascii="宋体" w:hAnsi="宋体" w:cs="宋体"/>
          <w:b/>
          <w:bCs w:val="0"/>
          <w:color w:val="auto"/>
          <w:sz w:val="24"/>
          <w:szCs w:val="24"/>
          <w:u w:val="single"/>
          <w:lang w:val="en-US" w:eastAsia="zh-CN"/>
        </w:rPr>
        <w:t>注:未提供上述附件证明或证明材料不符的，视为授权无效。</w:t>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1AA64965">
      <w:pPr>
        <w:pStyle w:val="33"/>
        <w:autoSpaceDE w:val="0"/>
        <w:autoSpaceDN w:val="0"/>
        <w:spacing w:before="120" w:after="120" w:line="240" w:lineRule="atLeast"/>
        <w:jc w:val="left"/>
        <w:rPr>
          <w:rFonts w:hint="eastAsia" w:ascii="宋体" w:hAnsi="宋体" w:eastAsia="宋体" w:cs="宋体"/>
          <w:szCs w:val="24"/>
        </w:rPr>
      </w:pPr>
    </w:p>
    <w:p w14:paraId="7E49E3E9">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01062635">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u w:val="single"/>
        </w:rPr>
      </w:pPr>
      <w:r>
        <w:rPr>
          <w:rFonts w:hint="eastAsia" w:ascii="宋体" w:hAnsi="宋体" w:eastAsia="宋体" w:cs="宋体"/>
          <w:szCs w:val="24"/>
          <w:lang w:val="en-US" w:eastAsia="zh-CN"/>
        </w:rPr>
        <w:t>法定代表人（投资人/负责人）</w:t>
      </w:r>
      <w:r>
        <w:rPr>
          <w:rFonts w:hint="eastAsia" w:ascii="宋体" w:hAnsi="宋体" w:eastAsia="宋体" w:cs="宋体"/>
          <w:szCs w:val="24"/>
        </w:rPr>
        <w:t>签字或</w:t>
      </w:r>
      <w:r>
        <w:rPr>
          <w:rFonts w:hint="eastAsia" w:ascii="宋体" w:hAnsi="宋体" w:eastAsia="宋体" w:cs="宋体"/>
          <w:szCs w:val="24"/>
          <w:lang w:val="en-US" w:eastAsia="zh-CN"/>
        </w:rPr>
        <w:t xml:space="preserve">盖章：  </w:t>
      </w:r>
      <w:r>
        <w:rPr>
          <w:rFonts w:hint="eastAsia" w:ascii="宋体" w:hAnsi="宋体" w:eastAsia="宋体" w:cs="宋体"/>
          <w:szCs w:val="24"/>
          <w:u w:val="single"/>
        </w:rPr>
        <w:tab/>
      </w:r>
    </w:p>
    <w:p w14:paraId="11340F9A">
      <w:pPr>
        <w:pStyle w:val="33"/>
        <w:tabs>
          <w:tab w:val="left" w:pos="9030"/>
        </w:tabs>
        <w:autoSpaceDE w:val="0"/>
        <w:autoSpaceDN w:val="0"/>
        <w:spacing w:before="120" w:after="120" w:line="240" w:lineRule="atLeast"/>
        <w:ind w:left="2415" w:hanging="2415"/>
        <w:jc w:val="left"/>
        <w:rPr>
          <w:rFonts w:hint="eastAsia" w:ascii="宋体" w:hAnsi="宋体" w:eastAsia="宋体" w:cs="宋体"/>
          <w:szCs w:val="24"/>
        </w:rPr>
      </w:pPr>
      <w:r>
        <w:rPr>
          <w:rFonts w:hint="eastAsia" w:ascii="宋体" w:hAnsi="宋体" w:eastAsia="宋体" w:cs="宋体"/>
          <w:szCs w:val="24"/>
        </w:rPr>
        <w:t>被授权人签字</w:t>
      </w:r>
      <w:r>
        <w:rPr>
          <w:rFonts w:hint="eastAsia" w:ascii="宋体" w:hAnsi="宋体" w:eastAsia="宋体" w:cs="宋体"/>
          <w:szCs w:val="24"/>
          <w:lang w:val="en-US" w:eastAsia="zh-CN"/>
        </w:rPr>
        <w:t>或盖章</w:t>
      </w:r>
      <w:r>
        <w:rPr>
          <w:rFonts w:hint="eastAsia" w:ascii="宋体" w:hAnsi="宋体" w:eastAsia="宋体" w:cs="宋体"/>
          <w:szCs w:val="24"/>
        </w:rPr>
        <w:t>：</w:t>
      </w:r>
      <w:r>
        <w:rPr>
          <w:rFonts w:hint="eastAsia" w:ascii="宋体" w:hAnsi="宋体" w:eastAsia="宋体" w:cs="宋体"/>
          <w:szCs w:val="24"/>
        </w:rPr>
        <w:tab/>
      </w:r>
      <w:r>
        <w:rPr>
          <w:rFonts w:hint="eastAsia" w:ascii="宋体" w:hAnsi="宋体" w:eastAsia="宋体" w:cs="宋体"/>
          <w:szCs w:val="24"/>
          <w:u w:val="single"/>
        </w:rPr>
        <w:tab/>
      </w:r>
    </w:p>
    <w:p w14:paraId="1E459B48">
      <w:pPr>
        <w:pStyle w:val="9"/>
      </w:pPr>
    </w:p>
    <w:p w14:paraId="2488CF92">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1315FB3D">
      <w:pPr>
        <w:ind w:firstLine="3040" w:firstLineChars="950"/>
        <w:rPr>
          <w:rFonts w:hint="eastAsia" w:ascii="宋体" w:hAnsi="宋体"/>
          <w:b/>
          <w:sz w:val="32"/>
          <w:szCs w:val="20"/>
        </w:rPr>
      </w:pPr>
      <w:r>
        <w:rPr>
          <w:rFonts w:hint="eastAsia" w:ascii="宋体" w:hAnsi="宋体"/>
          <w:b/>
          <w:sz w:val="32"/>
          <w:szCs w:val="20"/>
        </w:rPr>
        <w:t>信用中国查询结果截图</w:t>
      </w:r>
    </w:p>
    <w:p w14:paraId="5733447F">
      <w:pPr>
        <w:numPr>
          <w:ilvl w:val="0"/>
          <w:numId w:val="18"/>
        </w:numPr>
        <w:spacing w:line="360" w:lineRule="auto"/>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3C1ACC25">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248F681A">
      <w:pPr>
        <w:spacing w:line="360" w:lineRule="auto"/>
        <w:rPr>
          <w:rFonts w:hint="eastAsia" w:ascii="宋体" w:hAnsi="宋体"/>
          <w:color w:val="000000"/>
          <w:sz w:val="24"/>
          <w:szCs w:val="20"/>
        </w:rPr>
      </w:pPr>
      <w:r>
        <w:drawing>
          <wp:inline distT="0" distB="0" distL="114300" distR="114300">
            <wp:extent cx="5271135" cy="2902585"/>
            <wp:effectExtent l="0" t="0" r="1905" b="825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9"/>
                    <a:stretch>
                      <a:fillRect/>
                    </a:stretch>
                  </pic:blipFill>
                  <pic:spPr>
                    <a:xfrm>
                      <a:off x="0" y="0"/>
                      <a:ext cx="5271135" cy="2902585"/>
                    </a:xfrm>
                    <a:prstGeom prst="rect">
                      <a:avLst/>
                    </a:prstGeom>
                    <a:noFill/>
                    <a:ln>
                      <a:noFill/>
                    </a:ln>
                  </pic:spPr>
                </pic:pic>
              </a:graphicData>
            </a:graphic>
          </wp:inline>
        </w:drawing>
      </w:r>
    </w:p>
    <w:p w14:paraId="340C811B">
      <w:pPr>
        <w:pStyle w:val="8"/>
        <w:numPr>
          <w:ilvl w:val="0"/>
          <w:numId w:val="18"/>
        </w:numPr>
        <w:ind w:left="0" w:leftChars="0" w:firstLine="0" w:firstLineChars="0"/>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https://www.creditchina.gov.cn/zhuanxiangchaxun/zhongdashuishouweifaanjian/</w:t>
      </w:r>
      <w:r>
        <w:rPr>
          <w:rFonts w:hint="eastAsia" w:ascii="宋体" w:hAnsi="宋体"/>
          <w:color w:val="000000"/>
          <w:sz w:val="24"/>
          <w:szCs w:val="20"/>
        </w:rPr>
        <w:t>列入重大税收违法案件当事人名单截图</w:t>
      </w:r>
    </w:p>
    <w:p w14:paraId="76847618">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4557A917">
      <w:pPr>
        <w:pStyle w:val="8"/>
        <w:numPr>
          <w:ilvl w:val="0"/>
          <w:numId w:val="0"/>
        </w:numPr>
        <w:ind w:leftChars="0"/>
      </w:pPr>
      <w:r>
        <w:drawing>
          <wp:inline distT="0" distB="0" distL="114300" distR="114300">
            <wp:extent cx="5105400" cy="3498850"/>
            <wp:effectExtent l="0" t="0" r="0" b="635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5105400" cy="3498850"/>
                    </a:xfrm>
                    <a:prstGeom prst="rect">
                      <a:avLst/>
                    </a:prstGeom>
                    <a:noFill/>
                    <a:ln>
                      <a:noFill/>
                    </a:ln>
                  </pic:spPr>
                </pic:pic>
              </a:graphicData>
            </a:graphic>
          </wp:inline>
        </w:drawing>
      </w:r>
    </w:p>
    <w:p w14:paraId="05D4BFC8">
      <w:pPr>
        <w:pStyle w:val="8"/>
        <w:numPr>
          <w:ilvl w:val="0"/>
          <w:numId w:val="0"/>
        </w:numPr>
        <w:ind w:leftChars="0"/>
        <w:rPr>
          <w:rFonts w:hint="eastAsia"/>
        </w:rPr>
      </w:pPr>
    </w:p>
    <w:p w14:paraId="3D04BF54">
      <w:pPr>
        <w:pStyle w:val="8"/>
        <w:rPr>
          <w:rFonts w:ascii="宋体" w:hAnsi="宋体"/>
          <w:color w:val="000000"/>
          <w:sz w:val="24"/>
          <w:szCs w:val="20"/>
        </w:rPr>
      </w:pPr>
    </w:p>
    <w:p w14:paraId="7C84A76E">
      <w:pPr>
        <w:numPr>
          <w:ilvl w:val="0"/>
          <w:numId w:val="18"/>
        </w:numPr>
        <w:spacing w:line="360" w:lineRule="auto"/>
        <w:ind w:left="0" w:leftChars="0" w:firstLine="0" w:firstLineChars="0"/>
        <w:jc w:val="left"/>
        <w:rPr>
          <w:rFonts w:hint="eastAsia" w:ascii="宋体" w:hAnsi="宋体" w:cs="宋体"/>
          <w:sz w:val="24"/>
        </w:rPr>
      </w:pPr>
      <w:r>
        <w:rPr>
          <w:rFonts w:hint="eastAsia" w:ascii="宋体" w:hAnsi="宋体" w:cs="宋体"/>
          <w:sz w:val="24"/>
        </w:rPr>
        <w:t>投标人开标截止日前一年内未被“信用中国”网站（</w:t>
      </w:r>
      <w:r>
        <w:rPr>
          <w:rFonts w:hint="eastAsia" w:ascii="宋体" w:hAnsi="宋体" w:cs="宋体"/>
          <w:b/>
          <w:bCs/>
          <w:sz w:val="24"/>
        </w:rPr>
        <w:t>https://www.creditchina.gov.cn/xinxigongshi/xingzhengxuke/</w:t>
      </w:r>
      <w:r>
        <w:rPr>
          <w:rFonts w:hint="eastAsia" w:ascii="宋体" w:hAnsi="宋体" w:cs="宋体"/>
          <w:sz w:val="24"/>
        </w:rPr>
        <w:t>）列入存在行政处罚款200万元（含）人民币以上记录、存在相关“许可证”的行政处罚记录截图</w:t>
      </w:r>
    </w:p>
    <w:p w14:paraId="32702C41">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17613A13">
      <w:pPr>
        <w:pStyle w:val="9"/>
      </w:pPr>
      <w:r>
        <w:drawing>
          <wp:inline distT="0" distB="0" distL="114300" distR="114300">
            <wp:extent cx="5273675" cy="4297045"/>
            <wp:effectExtent l="0" t="0" r="14605" b="63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1"/>
                    <a:stretch>
                      <a:fillRect/>
                    </a:stretch>
                  </pic:blipFill>
                  <pic:spPr>
                    <a:xfrm>
                      <a:off x="0" y="0"/>
                      <a:ext cx="5273675" cy="4297045"/>
                    </a:xfrm>
                    <a:prstGeom prst="rect">
                      <a:avLst/>
                    </a:prstGeom>
                    <a:noFill/>
                    <a:ln>
                      <a:noFill/>
                    </a:ln>
                  </pic:spPr>
                </pic:pic>
              </a:graphicData>
            </a:graphic>
          </wp:inline>
        </w:drawing>
      </w:r>
    </w:p>
    <w:p w14:paraId="33A97D9F">
      <w:pPr>
        <w:pStyle w:val="9"/>
      </w:pPr>
    </w:p>
    <w:p w14:paraId="7D383D62">
      <w:pPr>
        <w:rPr>
          <w:rFonts w:hint="eastAsia" w:ascii="宋体" w:hAnsi="宋体"/>
          <w:b/>
          <w:color w:val="000000"/>
          <w:sz w:val="24"/>
        </w:rPr>
      </w:pPr>
      <w:r>
        <w:rPr>
          <w:rFonts w:hint="eastAsia" w:ascii="宋体" w:hAnsi="宋体"/>
          <w:b/>
          <w:color w:val="000000"/>
          <w:sz w:val="24"/>
        </w:rPr>
        <w:br w:type="page"/>
      </w:r>
    </w:p>
    <w:p w14:paraId="46C153B5">
      <w:pPr>
        <w:spacing w:line="360" w:lineRule="auto"/>
        <w:rPr>
          <w:rFonts w:ascii="宋体" w:hAnsi="宋体"/>
          <w:b/>
          <w:color w:val="000000"/>
          <w:sz w:val="24"/>
        </w:rPr>
      </w:pPr>
      <w:bookmarkStart w:id="9" w:name="_GoBack"/>
      <w:bookmarkEnd w:id="9"/>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315A663C">
      <w:pPr>
        <w:rPr>
          <w:rFonts w:ascii="宋体" w:hAnsi="宋体"/>
          <w:b/>
          <w:color w:val="000000"/>
          <w:sz w:val="24"/>
        </w:rPr>
      </w:pPr>
      <w:r>
        <w:rPr>
          <w:rFonts w:hint="eastAsia" w:ascii="宋体" w:hAnsi="宋体" w:cs="宋体"/>
          <w:sz w:val="24"/>
        </w:rPr>
        <w:br w:type="page"/>
      </w:r>
      <w:r>
        <w:rPr>
          <w:rFonts w:hint="eastAsia" w:ascii="宋体" w:hAnsi="宋体"/>
          <w:b/>
          <w:color w:val="000000"/>
          <w:sz w:val="24"/>
        </w:rPr>
        <w:t>六、</w:t>
      </w:r>
      <w:r>
        <w:rPr>
          <w:rFonts w:hint="eastAsia" w:ascii="宋体" w:hAnsi="宋体"/>
          <w:b/>
          <w:color w:val="000000"/>
          <w:sz w:val="24"/>
          <w:lang w:val="en-US" w:eastAsia="zh-CN"/>
        </w:rPr>
        <w:t>服务</w:t>
      </w:r>
      <w:r>
        <w:rPr>
          <w:rFonts w:hint="eastAsia" w:ascii="宋体" w:hAnsi="宋体"/>
          <w:b/>
          <w:color w:val="000000"/>
          <w:sz w:val="24"/>
        </w:rPr>
        <w:t>方案（格式自拟）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0F6B9FF1">
      <w:pPr>
        <w:rPr>
          <w:rFonts w:ascii="宋体" w:hAnsi="宋体"/>
          <w:b/>
          <w:color w:val="000000"/>
          <w:sz w:val="24"/>
        </w:rPr>
      </w:pPr>
      <w:r>
        <w:rPr>
          <w:rFonts w:hint="eastAsia" w:ascii="宋体" w:hAnsi="宋体"/>
          <w:b/>
          <w:color w:val="000000"/>
          <w:sz w:val="24"/>
        </w:rPr>
        <w:t>七、</w:t>
      </w:r>
      <w:r>
        <w:rPr>
          <w:rFonts w:hint="eastAsia" w:ascii="宋体" w:hAnsi="宋体"/>
          <w:b/>
          <w:color w:val="000000"/>
          <w:sz w:val="24"/>
          <w:lang w:val="en-US" w:eastAsia="zh-CN"/>
        </w:rPr>
        <w:t>售后</w:t>
      </w:r>
      <w:r>
        <w:rPr>
          <w:rFonts w:hint="eastAsia" w:ascii="宋体" w:hAnsi="宋体"/>
          <w:b/>
          <w:color w:val="000000"/>
          <w:sz w:val="24"/>
        </w:rPr>
        <w:t>服务承诺（格式自拟）</w:t>
      </w:r>
    </w:p>
    <w:p w14:paraId="1981B5B9">
      <w:pPr>
        <w:rPr>
          <w:rFonts w:ascii="宋体" w:hAnsi="宋体"/>
          <w:b/>
          <w:color w:val="000000"/>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7DC71"/>
    <w:multiLevelType w:val="multilevel"/>
    <w:tmpl w:val="E3D7DC71"/>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D83C4E4"/>
    <w:multiLevelType w:val="singleLevel"/>
    <w:tmpl w:val="FD83C4E4"/>
    <w:lvl w:ilvl="0" w:tentative="0">
      <w:start w:val="2"/>
      <w:numFmt w:val="decimal"/>
      <w:suff w:val="nothing"/>
      <w:lvlText w:val="%1、"/>
      <w:lvlJc w:val="left"/>
    </w:lvl>
  </w:abstractNum>
  <w:abstractNum w:abstractNumId="4">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5">
    <w:nsid w:val="05CA1E2A"/>
    <w:multiLevelType w:val="multilevel"/>
    <w:tmpl w:val="05CA1E2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06157ABB"/>
    <w:multiLevelType w:val="singleLevel"/>
    <w:tmpl w:val="06157ABB"/>
    <w:lvl w:ilvl="0" w:tentative="0">
      <w:start w:val="2"/>
      <w:numFmt w:val="chineseCounting"/>
      <w:suff w:val="nothing"/>
      <w:lvlText w:val="%1、"/>
      <w:lvlJc w:val="left"/>
      <w:rPr>
        <w:rFonts w:hint="eastAsia"/>
      </w:rPr>
    </w:lvl>
  </w:abstractNum>
  <w:abstractNum w:abstractNumId="7">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606CD3"/>
    <w:multiLevelType w:val="singleLevel"/>
    <w:tmpl w:val="15606CD3"/>
    <w:lvl w:ilvl="0" w:tentative="0">
      <w:start w:val="1"/>
      <w:numFmt w:val="decimal"/>
      <w:suff w:val="nothing"/>
      <w:lvlText w:val="%1、"/>
      <w:lvlJc w:val="left"/>
      <w:rPr>
        <w:rFonts w:hint="default"/>
        <w:b w:val="0"/>
        <w:bCs w:val="0"/>
      </w:rPr>
    </w:lvl>
  </w:abstractNum>
  <w:abstractNum w:abstractNumId="10">
    <w:nsid w:val="182B3FEB"/>
    <w:multiLevelType w:val="multilevel"/>
    <w:tmpl w:val="182B3FEB"/>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271E5253"/>
    <w:multiLevelType w:val="singleLevel"/>
    <w:tmpl w:val="271E5253"/>
    <w:lvl w:ilvl="0" w:tentative="0">
      <w:start w:val="1"/>
      <w:numFmt w:val="decimal"/>
      <w:lvlText w:val="(%1)"/>
      <w:lvlJc w:val="left"/>
      <w:pPr>
        <w:ind w:left="425" w:hanging="425"/>
      </w:pPr>
      <w:rPr>
        <w:rFonts w:hint="default"/>
      </w:rPr>
    </w:lvl>
  </w:abstractNum>
  <w:abstractNum w:abstractNumId="12">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4396FD0"/>
    <w:multiLevelType w:val="singleLevel"/>
    <w:tmpl w:val="34396FD0"/>
    <w:lvl w:ilvl="0" w:tentative="0">
      <w:start w:val="1"/>
      <w:numFmt w:val="decimal"/>
      <w:lvlText w:val="(%1)"/>
      <w:lvlJc w:val="left"/>
      <w:pPr>
        <w:ind w:left="425" w:hanging="425"/>
      </w:pPr>
      <w:rPr>
        <w:rFonts w:hint="default"/>
      </w:rPr>
    </w:lvl>
  </w:abstractNum>
  <w:abstractNum w:abstractNumId="14">
    <w:nsid w:val="4F968C7E"/>
    <w:multiLevelType w:val="singleLevel"/>
    <w:tmpl w:val="4F968C7E"/>
    <w:lvl w:ilvl="0" w:tentative="0">
      <w:start w:val="1"/>
      <w:numFmt w:val="chineseCounting"/>
      <w:suff w:val="nothing"/>
      <w:lvlText w:val="%1、"/>
      <w:lvlJc w:val="left"/>
      <w:rPr>
        <w:rFonts w:hint="eastAsia"/>
        <w:b/>
        <w:bCs/>
      </w:rPr>
    </w:lvl>
  </w:abstractNum>
  <w:abstractNum w:abstractNumId="15">
    <w:nsid w:val="55749F86"/>
    <w:multiLevelType w:val="singleLevel"/>
    <w:tmpl w:val="55749F86"/>
    <w:lvl w:ilvl="0" w:tentative="0">
      <w:start w:val="1"/>
      <w:numFmt w:val="decimal"/>
      <w:lvlText w:val="%1."/>
      <w:lvlJc w:val="left"/>
      <w:pPr>
        <w:tabs>
          <w:tab w:val="left" w:pos="312"/>
        </w:tabs>
      </w:pPr>
    </w:lvl>
  </w:abstractNum>
  <w:abstractNum w:abstractNumId="16">
    <w:nsid w:val="665B2A96"/>
    <w:multiLevelType w:val="singleLevel"/>
    <w:tmpl w:val="665B2A96"/>
    <w:lvl w:ilvl="0" w:tentative="0">
      <w:start w:val="2"/>
      <w:numFmt w:val="chineseCounting"/>
      <w:suff w:val="space"/>
      <w:lvlText w:val="第%1章"/>
      <w:lvlJc w:val="left"/>
      <w:rPr>
        <w:rFonts w:hint="eastAsia"/>
      </w:rPr>
    </w:lvl>
  </w:abstractNum>
  <w:abstractNum w:abstractNumId="17">
    <w:nsid w:val="6DAC2DAB"/>
    <w:multiLevelType w:val="singleLevel"/>
    <w:tmpl w:val="6DAC2DAB"/>
    <w:lvl w:ilvl="0" w:tentative="0">
      <w:start w:val="3"/>
      <w:numFmt w:val="chineseCounting"/>
      <w:suff w:val="space"/>
      <w:lvlText w:val="第%1章"/>
      <w:lvlJc w:val="left"/>
      <w:rPr>
        <w:rFonts w:hint="eastAsia"/>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11"/>
  </w:num>
  <w:num w:numId="6">
    <w:abstractNumId w:val="2"/>
  </w:num>
  <w:num w:numId="7">
    <w:abstractNumId w:val="16"/>
  </w:num>
  <w:num w:numId="8">
    <w:abstractNumId w:val="14"/>
  </w:num>
  <w:num w:numId="9">
    <w:abstractNumId w:val="10"/>
  </w:num>
  <w:num w:numId="10">
    <w:abstractNumId w:val="5"/>
  </w:num>
  <w:num w:numId="11">
    <w:abstractNumId w:val="0"/>
  </w:num>
  <w:num w:numId="12">
    <w:abstractNumId w:val="17"/>
  </w:num>
  <w:num w:numId="13">
    <w:abstractNumId w:val="12"/>
  </w:num>
  <w:num w:numId="14">
    <w:abstractNumId w:val="6"/>
  </w:num>
  <w:num w:numId="15">
    <w:abstractNumId w:val="7"/>
  </w:num>
  <w:num w:numId="16">
    <w:abstractNumId w:val="9"/>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A3F63"/>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A12F0"/>
    <w:rsid w:val="007B7299"/>
    <w:rsid w:val="00820A56"/>
    <w:rsid w:val="00830720"/>
    <w:rsid w:val="0085507C"/>
    <w:rsid w:val="0086563F"/>
    <w:rsid w:val="00871A3B"/>
    <w:rsid w:val="008A5317"/>
    <w:rsid w:val="008C174C"/>
    <w:rsid w:val="008C4C99"/>
    <w:rsid w:val="008F63CF"/>
    <w:rsid w:val="00946B48"/>
    <w:rsid w:val="009C163D"/>
    <w:rsid w:val="009E0B8F"/>
    <w:rsid w:val="00A374FF"/>
    <w:rsid w:val="00A64A6E"/>
    <w:rsid w:val="00AA10CD"/>
    <w:rsid w:val="00AC7C38"/>
    <w:rsid w:val="00AD4561"/>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64FFF"/>
    <w:rsid w:val="00F73696"/>
    <w:rsid w:val="00F7584C"/>
    <w:rsid w:val="00F94D09"/>
    <w:rsid w:val="014A68C8"/>
    <w:rsid w:val="01594BE2"/>
    <w:rsid w:val="01B87251"/>
    <w:rsid w:val="02444EC6"/>
    <w:rsid w:val="0310259B"/>
    <w:rsid w:val="0357066F"/>
    <w:rsid w:val="05207027"/>
    <w:rsid w:val="056C2D54"/>
    <w:rsid w:val="05BE3ADF"/>
    <w:rsid w:val="06A71963"/>
    <w:rsid w:val="07CC3CE5"/>
    <w:rsid w:val="07FC03D1"/>
    <w:rsid w:val="07FF5C5B"/>
    <w:rsid w:val="085A7398"/>
    <w:rsid w:val="087F31D5"/>
    <w:rsid w:val="09470CDB"/>
    <w:rsid w:val="094C4865"/>
    <w:rsid w:val="09746C78"/>
    <w:rsid w:val="0A927532"/>
    <w:rsid w:val="0B056827"/>
    <w:rsid w:val="0BA67A2B"/>
    <w:rsid w:val="0BC84EB1"/>
    <w:rsid w:val="0CA93B2B"/>
    <w:rsid w:val="0CB365D0"/>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5A708E"/>
    <w:rsid w:val="1B812479"/>
    <w:rsid w:val="1B994D2B"/>
    <w:rsid w:val="1BC03D3D"/>
    <w:rsid w:val="1BE303B4"/>
    <w:rsid w:val="1C066AB2"/>
    <w:rsid w:val="1CA73DFC"/>
    <w:rsid w:val="1D880F0B"/>
    <w:rsid w:val="1DDA0DF5"/>
    <w:rsid w:val="1DDE59E8"/>
    <w:rsid w:val="1DF82BF7"/>
    <w:rsid w:val="1E322D19"/>
    <w:rsid w:val="1ED727A8"/>
    <w:rsid w:val="1F1D5F5B"/>
    <w:rsid w:val="1F9667C1"/>
    <w:rsid w:val="1FD066AB"/>
    <w:rsid w:val="207756F7"/>
    <w:rsid w:val="20AE6A1D"/>
    <w:rsid w:val="20DC0F2D"/>
    <w:rsid w:val="21AD19D1"/>
    <w:rsid w:val="21DD027E"/>
    <w:rsid w:val="22355A45"/>
    <w:rsid w:val="224D1A14"/>
    <w:rsid w:val="22A53293"/>
    <w:rsid w:val="22AF1E56"/>
    <w:rsid w:val="230830A7"/>
    <w:rsid w:val="23181ABB"/>
    <w:rsid w:val="23B337CB"/>
    <w:rsid w:val="23B85BEF"/>
    <w:rsid w:val="245C312A"/>
    <w:rsid w:val="25315A4D"/>
    <w:rsid w:val="2589395B"/>
    <w:rsid w:val="25BD6C34"/>
    <w:rsid w:val="26312F73"/>
    <w:rsid w:val="264A077C"/>
    <w:rsid w:val="26BA3B66"/>
    <w:rsid w:val="283D6944"/>
    <w:rsid w:val="28AA0CAA"/>
    <w:rsid w:val="28C52BC1"/>
    <w:rsid w:val="291D0ED5"/>
    <w:rsid w:val="295C3095"/>
    <w:rsid w:val="2A5B39D4"/>
    <w:rsid w:val="2A922D59"/>
    <w:rsid w:val="2ACE4EA1"/>
    <w:rsid w:val="2B2506EF"/>
    <w:rsid w:val="2B3037FE"/>
    <w:rsid w:val="2B713EB1"/>
    <w:rsid w:val="2C255DEC"/>
    <w:rsid w:val="2C3E7B51"/>
    <w:rsid w:val="2C7A2EB0"/>
    <w:rsid w:val="2D3A49C6"/>
    <w:rsid w:val="2D71699B"/>
    <w:rsid w:val="2DD973F2"/>
    <w:rsid w:val="2DFD3557"/>
    <w:rsid w:val="2E2456A8"/>
    <w:rsid w:val="2E254C7B"/>
    <w:rsid w:val="2E2B75C3"/>
    <w:rsid w:val="2E664977"/>
    <w:rsid w:val="2FC54136"/>
    <w:rsid w:val="2FCB52B7"/>
    <w:rsid w:val="2FEB22E8"/>
    <w:rsid w:val="302A70C9"/>
    <w:rsid w:val="3040652C"/>
    <w:rsid w:val="31501BF3"/>
    <w:rsid w:val="316E4C5B"/>
    <w:rsid w:val="31D45FF1"/>
    <w:rsid w:val="326B4DEF"/>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EA96684"/>
    <w:rsid w:val="3EE169D7"/>
    <w:rsid w:val="3EEE1AD0"/>
    <w:rsid w:val="3F1A5CB2"/>
    <w:rsid w:val="3F934EDE"/>
    <w:rsid w:val="3FA446BC"/>
    <w:rsid w:val="3FDC4CB6"/>
    <w:rsid w:val="3FF55287"/>
    <w:rsid w:val="401710D7"/>
    <w:rsid w:val="4073414D"/>
    <w:rsid w:val="409018AF"/>
    <w:rsid w:val="40B00C52"/>
    <w:rsid w:val="40C91709"/>
    <w:rsid w:val="40EE167A"/>
    <w:rsid w:val="410D1E93"/>
    <w:rsid w:val="412033D2"/>
    <w:rsid w:val="41326E0A"/>
    <w:rsid w:val="425451CC"/>
    <w:rsid w:val="426559F5"/>
    <w:rsid w:val="42AF15FA"/>
    <w:rsid w:val="42B5097B"/>
    <w:rsid w:val="43261ABD"/>
    <w:rsid w:val="43324756"/>
    <w:rsid w:val="446A3B24"/>
    <w:rsid w:val="4524248D"/>
    <w:rsid w:val="454229EF"/>
    <w:rsid w:val="456C6563"/>
    <w:rsid w:val="45FD5C23"/>
    <w:rsid w:val="46886E02"/>
    <w:rsid w:val="46BE34E7"/>
    <w:rsid w:val="47255E31"/>
    <w:rsid w:val="476B5394"/>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6112A2"/>
    <w:rsid w:val="4E792389"/>
    <w:rsid w:val="4FF84097"/>
    <w:rsid w:val="502865F4"/>
    <w:rsid w:val="506131F5"/>
    <w:rsid w:val="50977054"/>
    <w:rsid w:val="50BC4F45"/>
    <w:rsid w:val="514629BB"/>
    <w:rsid w:val="51655889"/>
    <w:rsid w:val="51D81616"/>
    <w:rsid w:val="535C1F33"/>
    <w:rsid w:val="54666C24"/>
    <w:rsid w:val="54EC3BA0"/>
    <w:rsid w:val="5535151D"/>
    <w:rsid w:val="558450FF"/>
    <w:rsid w:val="576A6288"/>
    <w:rsid w:val="57C22C9A"/>
    <w:rsid w:val="57DFA24C"/>
    <w:rsid w:val="58333256"/>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AB79EB"/>
    <w:rsid w:val="5EE6064C"/>
    <w:rsid w:val="5F366169"/>
    <w:rsid w:val="5F437ABF"/>
    <w:rsid w:val="5F921471"/>
    <w:rsid w:val="5F93049A"/>
    <w:rsid w:val="5FAC5FBA"/>
    <w:rsid w:val="60172137"/>
    <w:rsid w:val="60266F88"/>
    <w:rsid w:val="60F2041F"/>
    <w:rsid w:val="611A7247"/>
    <w:rsid w:val="61714136"/>
    <w:rsid w:val="61DE4C7B"/>
    <w:rsid w:val="62886432"/>
    <w:rsid w:val="63D80E82"/>
    <w:rsid w:val="65454341"/>
    <w:rsid w:val="654B35BF"/>
    <w:rsid w:val="65766C91"/>
    <w:rsid w:val="65C50B86"/>
    <w:rsid w:val="66D11175"/>
    <w:rsid w:val="67404C39"/>
    <w:rsid w:val="682568D9"/>
    <w:rsid w:val="689D4DD4"/>
    <w:rsid w:val="697417E4"/>
    <w:rsid w:val="6A477CA2"/>
    <w:rsid w:val="6AF7142B"/>
    <w:rsid w:val="6AFB21F9"/>
    <w:rsid w:val="6B2F17DE"/>
    <w:rsid w:val="6B764EF7"/>
    <w:rsid w:val="6BE2620E"/>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1ED53C5"/>
    <w:rsid w:val="72F77C51"/>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130777"/>
    <w:rsid w:val="7C6A718C"/>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8"/>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9"/>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FollowedHyperlink"/>
    <w:basedOn w:val="23"/>
    <w:qFormat/>
    <w:uiPriority w:val="0"/>
    <w:rPr>
      <w:color w:val="800080"/>
      <w:u w:val="single"/>
    </w:rPr>
  </w:style>
  <w:style w:type="character" w:styleId="27">
    <w:name w:val="Hyperlink"/>
    <w:basedOn w:val="23"/>
    <w:unhideWhenUsed/>
    <w:qFormat/>
    <w:uiPriority w:val="0"/>
    <w:rPr>
      <w:color w:val="0000FF"/>
      <w:u w:val="single"/>
    </w:rPr>
  </w:style>
  <w:style w:type="character" w:styleId="28">
    <w:name w:val="annotation reference"/>
    <w:basedOn w:val="23"/>
    <w:qFormat/>
    <w:uiPriority w:val="0"/>
    <w:rPr>
      <w:sz w:val="21"/>
      <w:szCs w:val="21"/>
    </w:rPr>
  </w:style>
  <w:style w:type="paragraph" w:customStyle="1" w:styleId="29">
    <w:name w:val="ITB-0"/>
    <w:basedOn w:val="1"/>
    <w:qFormat/>
    <w:uiPriority w:val="0"/>
    <w:pPr>
      <w:adjustRightInd w:val="0"/>
      <w:jc w:val="center"/>
    </w:pPr>
    <w:rPr>
      <w:b/>
      <w:sz w:val="32"/>
      <w:szCs w:val="20"/>
    </w:rPr>
  </w:style>
  <w:style w:type="paragraph" w:customStyle="1" w:styleId="3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1">
    <w:name w:val="ifb-1"/>
    <w:basedOn w:val="1"/>
    <w:qFormat/>
    <w:uiPriority w:val="0"/>
    <w:pPr>
      <w:ind w:left="420" w:hanging="420"/>
    </w:pPr>
    <w:rPr>
      <w:rFonts w:ascii="楷体_GB2312" w:eastAsia="楷体_GB2312"/>
      <w:szCs w:val="20"/>
    </w:rPr>
  </w:style>
  <w:style w:type="paragraph" w:customStyle="1" w:styleId="32">
    <w:name w:val="列出段落1"/>
    <w:basedOn w:val="1"/>
    <w:qFormat/>
    <w:uiPriority w:val="99"/>
    <w:pPr>
      <w:ind w:firstLine="420" w:firstLineChars="200"/>
    </w:pPr>
    <w:rPr>
      <w:rFonts w:ascii="Calibri" w:hAnsi="Calibri"/>
      <w:szCs w:val="22"/>
    </w:rPr>
  </w:style>
  <w:style w:type="paragraph" w:customStyle="1" w:styleId="33">
    <w:name w:val="att"/>
    <w:basedOn w:val="1"/>
    <w:qFormat/>
    <w:uiPriority w:val="0"/>
    <w:pPr>
      <w:spacing w:line="360" w:lineRule="auto"/>
    </w:pPr>
    <w:rPr>
      <w:rFonts w:eastAsia="楷体_GB2312"/>
      <w:sz w:val="24"/>
      <w:szCs w:val="20"/>
    </w:rPr>
  </w:style>
  <w:style w:type="character" w:customStyle="1" w:styleId="34">
    <w:name w:val="批注框文本 Char"/>
    <w:basedOn w:val="23"/>
    <w:link w:val="13"/>
    <w:qFormat/>
    <w:uiPriority w:val="0"/>
    <w:rPr>
      <w:kern w:val="2"/>
      <w:sz w:val="18"/>
      <w:szCs w:val="18"/>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fontstyle01"/>
    <w:basedOn w:val="23"/>
    <w:qFormat/>
    <w:uiPriority w:val="0"/>
    <w:rPr>
      <w:rFonts w:hint="default" w:ascii="FZFSK--GBK1-0" w:hAnsi="FZFSK--GBK1-0"/>
      <w:color w:val="333333"/>
      <w:sz w:val="24"/>
      <w:szCs w:val="24"/>
    </w:rPr>
  </w:style>
  <w:style w:type="character" w:customStyle="1" w:styleId="38">
    <w:name w:val="批注文字 Char"/>
    <w:basedOn w:val="23"/>
    <w:link w:val="8"/>
    <w:qFormat/>
    <w:uiPriority w:val="0"/>
    <w:rPr>
      <w:kern w:val="2"/>
      <w:sz w:val="21"/>
      <w:szCs w:val="24"/>
    </w:rPr>
  </w:style>
  <w:style w:type="character" w:customStyle="1" w:styleId="39">
    <w:name w:val="批注主题 Char"/>
    <w:basedOn w:val="38"/>
    <w:link w:val="18"/>
    <w:qFormat/>
    <w:uiPriority w:val="0"/>
    <w:rPr>
      <w:b/>
      <w:bCs/>
      <w:kern w:val="2"/>
      <w:sz w:val="21"/>
      <w:szCs w:val="24"/>
    </w:rPr>
  </w:style>
  <w:style w:type="paragraph" w:customStyle="1" w:styleId="4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1">
    <w:name w:val="font11"/>
    <w:basedOn w:val="23"/>
    <w:qFormat/>
    <w:uiPriority w:val="0"/>
    <w:rPr>
      <w:rFonts w:hint="eastAsia" w:ascii="宋体" w:hAnsi="宋体" w:eastAsia="宋体" w:cs="宋体"/>
      <w:color w:val="000000"/>
      <w:sz w:val="24"/>
      <w:szCs w:val="24"/>
      <w:u w:val="none"/>
    </w:rPr>
  </w:style>
  <w:style w:type="character" w:customStyle="1" w:styleId="42">
    <w:name w:val="font51"/>
    <w:basedOn w:val="23"/>
    <w:qFormat/>
    <w:uiPriority w:val="0"/>
    <w:rPr>
      <w:rFonts w:hint="default" w:ascii="Times New Roman" w:hAnsi="Times New Roman" w:cs="Times New Roman"/>
      <w:color w:val="000000"/>
      <w:sz w:val="24"/>
      <w:szCs w:val="24"/>
      <w:u w:val="none"/>
    </w:rPr>
  </w:style>
  <w:style w:type="character" w:customStyle="1" w:styleId="43">
    <w:name w:val="标题 4 Char"/>
    <w:basedOn w:val="23"/>
    <w:link w:val="5"/>
    <w:qFormat/>
    <w:uiPriority w:val="0"/>
    <w:rPr>
      <w:rFonts w:ascii="Cambria" w:hAnsi="Cambria"/>
      <w:b/>
      <w:bCs/>
      <w:kern w:val="2"/>
      <w:sz w:val="28"/>
      <w:szCs w:val="28"/>
      <w:lang w:val="zh-CN" w:eastAsia="zh-CN"/>
    </w:rPr>
  </w:style>
  <w:style w:type="paragraph" w:customStyle="1" w:styleId="44">
    <w:name w:val="正文（缩进）"/>
    <w:basedOn w:val="1"/>
    <w:next w:val="1"/>
    <w:autoRedefine/>
    <w:qFormat/>
    <w:uiPriority w:val="0"/>
    <w:pPr>
      <w:ind w:firstLine="960"/>
    </w:pPr>
    <w:rPr>
      <w:rFonts w:ascii="Calibri" w:hAnsi="Calibri"/>
      <w:spacing w:val="20"/>
      <w:kern w:val="0"/>
    </w:rPr>
  </w:style>
  <w:style w:type="table" w:customStyle="1" w:styleId="45">
    <w:name w:val="Table Normal"/>
    <w:basedOn w:val="21"/>
    <w:qFormat/>
    <w:uiPriority w:val="0"/>
    <w:tblPr>
      <w:tblCellMar>
        <w:left w:w="0" w:type="dxa"/>
        <w:right w:w="0" w:type="dxa"/>
      </w:tblCellMar>
    </w:tblPr>
  </w:style>
  <w:style w:type="paragraph" w:customStyle="1" w:styleId="46">
    <w:name w:val="列出段落11"/>
    <w:basedOn w:val="1"/>
    <w:unhideWhenUsed/>
    <w:qFormat/>
    <w:uiPriority w:val="99"/>
    <w:pPr>
      <w:spacing w:line="300" w:lineRule="auto"/>
      <w:ind w:firstLine="420" w:firstLineChars="200"/>
    </w:pPr>
    <w:rPr>
      <w:rFonts w:ascii="Calibri" w:hAnsi="Calibri"/>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5264</Words>
  <Characters>5830</Characters>
  <Lines>62</Lines>
  <Paragraphs>17</Paragraphs>
  <TotalTime>0</TotalTime>
  <ScaleCrop>false</ScaleCrop>
  <LinksUpToDate>false</LinksUpToDate>
  <CharactersWithSpaces>6209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2025-02-25T06:42:00Z</dcterms:created>
  <dc:creator>user</dc:creator>
  <cp:lastModifiedBy>user</cp:lastModifiedBy>
  <dcterms:modified xsi:type="dcterms:W3CDTF">2025-10-21T01:02:41Z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CF423F089E744ED994E854D2AB35378B_13</vt:lpwstr>
  </property>
  <property fmtid="{D5CDD505-2E9C-101B-9397-08002B2CF9AE}" pid="4" name="KSOTemplateDocerSaveRecord">
    <vt:lpwstr>eyJoZGlkIjoiODlkMzE2MGQ5NDBhNWRhZDYzZDdmZjJjOTY4ZDdmZWEifQ==</vt:lpwstr>
  </property>
</Properties>
</file>