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pStyle w:val="9"/>
        <w:rPr>
          <w:rFonts w:hint="eastAsia" w:ascii="宋体" w:hAnsi="宋体" w:eastAsia="宋体" w:cs="宋体"/>
          <w:sz w:val="60"/>
          <w:szCs w:val="60"/>
        </w:rPr>
      </w:pPr>
      <w:r>
        <w:rPr>
          <w:rFonts w:hint="eastAsia" w:ascii="宋体" w:hAnsi="宋体" w:eastAsia="宋体" w:cs="宋体"/>
          <w:sz w:val="60"/>
          <w:szCs w:val="60"/>
        </w:rPr>
        <w:t>上海市儿童医院</w:t>
      </w:r>
    </w:p>
    <w:p>
      <w:pPr>
        <w:pStyle w:val="9"/>
        <w:rPr>
          <w:rFonts w:hint="eastAsia" w:ascii="宋体" w:hAnsi="宋体" w:eastAsia="宋体" w:cs="宋体"/>
          <w:sz w:val="60"/>
          <w:szCs w:val="60"/>
        </w:rPr>
      </w:pPr>
    </w:p>
    <w:p>
      <w:pPr>
        <w:pStyle w:val="9"/>
        <w:rPr>
          <w:rFonts w:hint="eastAsia" w:ascii="宋体" w:hAnsi="宋体" w:eastAsia="宋体" w:cs="宋体"/>
          <w:sz w:val="60"/>
          <w:szCs w:val="60"/>
        </w:rPr>
      </w:pPr>
    </w:p>
    <w:p>
      <w:pPr>
        <w:pStyle w:val="9"/>
        <w:rPr>
          <w:rFonts w:hint="eastAsia" w:ascii="宋体" w:hAnsi="宋体" w:eastAsia="宋体" w:cs="宋体"/>
          <w:sz w:val="60"/>
          <w:szCs w:val="60"/>
          <w:lang w:eastAsia="zh-CN"/>
        </w:rPr>
      </w:pPr>
      <w:r>
        <w:rPr>
          <w:rFonts w:hint="eastAsia" w:ascii="宋体" w:hAnsi="宋体" w:eastAsia="宋体" w:cs="宋体"/>
          <w:sz w:val="60"/>
          <w:szCs w:val="60"/>
          <w:lang w:eastAsia="zh-CN"/>
        </w:rPr>
        <w:t xml:space="preserve"> 5‘-核苷酸酶测定试剂盒</w:t>
      </w:r>
    </w:p>
    <w:p>
      <w:pPr>
        <w:pStyle w:val="9"/>
        <w:rPr>
          <w:rFonts w:hint="eastAsia" w:ascii="宋体" w:hAnsi="宋体" w:eastAsia="宋体" w:cs="宋体"/>
          <w:sz w:val="60"/>
          <w:szCs w:val="60"/>
        </w:rPr>
      </w:pPr>
      <w:r>
        <w:rPr>
          <w:rFonts w:hint="eastAsia" w:ascii="宋体" w:hAnsi="宋体" w:eastAsia="宋体" w:cs="宋体"/>
          <w:sz w:val="60"/>
          <w:szCs w:val="60"/>
          <w:lang w:eastAsia="zh-CN"/>
        </w:rPr>
        <w:t>（过氧化物酶法）</w:t>
      </w:r>
      <w:r>
        <w:rPr>
          <w:rFonts w:hint="eastAsia" w:ascii="宋体" w:hAnsi="宋体" w:eastAsia="宋体" w:cs="宋体"/>
          <w:sz w:val="60"/>
          <w:szCs w:val="60"/>
        </w:rPr>
        <w:t>项目</w:t>
      </w:r>
    </w:p>
    <w:p>
      <w:pPr>
        <w:pStyle w:val="9"/>
        <w:rPr>
          <w:rFonts w:hint="eastAsia" w:ascii="宋体" w:hAnsi="宋体" w:eastAsia="宋体" w:cs="宋体"/>
          <w:sz w:val="60"/>
          <w:szCs w:val="60"/>
        </w:rPr>
      </w:pPr>
    </w:p>
    <w:p>
      <w:pPr>
        <w:pStyle w:val="9"/>
        <w:rPr>
          <w:rFonts w:hint="eastAsia" w:ascii="宋体" w:hAnsi="宋体" w:eastAsia="宋体" w:cs="宋体"/>
          <w:sz w:val="36"/>
        </w:rPr>
      </w:pPr>
      <w:r>
        <w:rPr>
          <w:rFonts w:hint="eastAsia" w:ascii="宋体" w:hAnsi="宋体" w:eastAsia="宋体" w:cs="宋体"/>
          <w:sz w:val="60"/>
          <w:szCs w:val="60"/>
        </w:rPr>
        <w:t>遴选文件</w:t>
      </w:r>
    </w:p>
    <w:p>
      <w:pPr>
        <w:pStyle w:val="12"/>
        <w:ind w:firstLine="360"/>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lang w:eastAsia="zh-CN"/>
        </w:rPr>
      </w:pPr>
      <w:r>
        <w:rPr>
          <w:rFonts w:hint="eastAsia" w:ascii="宋体" w:hAnsi="宋体" w:eastAsia="宋体" w:cs="宋体"/>
          <w:b/>
          <w:sz w:val="36"/>
          <w:szCs w:val="20"/>
          <w:lang w:val="en-US" w:eastAsia="zh-CN"/>
        </w:rPr>
        <w:t>项目</w:t>
      </w:r>
      <w:r>
        <w:rPr>
          <w:rFonts w:hint="eastAsia" w:ascii="宋体" w:hAnsi="宋体" w:eastAsia="宋体" w:cs="宋体"/>
          <w:b/>
          <w:sz w:val="36"/>
          <w:szCs w:val="20"/>
        </w:rPr>
        <w:t>编号：2023-ETLX</w:t>
      </w:r>
      <w:r>
        <w:rPr>
          <w:rFonts w:hint="eastAsia" w:ascii="宋体" w:hAnsi="宋体" w:eastAsia="宋体" w:cs="宋体"/>
          <w:b/>
          <w:sz w:val="36"/>
          <w:szCs w:val="20"/>
          <w:lang w:val="en-US" w:eastAsia="zh-CN"/>
        </w:rPr>
        <w:t>SJ</w:t>
      </w:r>
      <w:r>
        <w:rPr>
          <w:rFonts w:hint="eastAsia" w:ascii="宋体" w:hAnsi="宋体" w:eastAsia="宋体" w:cs="宋体"/>
          <w:b/>
          <w:sz w:val="36"/>
          <w:szCs w:val="20"/>
        </w:rPr>
        <w:t>-00</w:t>
      </w:r>
      <w:r>
        <w:rPr>
          <w:rFonts w:hint="eastAsia" w:ascii="宋体" w:hAnsi="宋体" w:eastAsia="宋体" w:cs="宋体"/>
          <w:b/>
          <w:sz w:val="36"/>
          <w:szCs w:val="20"/>
          <w:lang w:val="en-US" w:eastAsia="zh-CN"/>
        </w:rPr>
        <w:t>2</w:t>
      </w:r>
    </w:p>
    <w:p>
      <w:pPr>
        <w:pStyle w:val="9"/>
        <w:rPr>
          <w:rFonts w:ascii="华文仿宋" w:hAnsi="华文仿宋" w:eastAsia="华文仿宋" w:cs="华文仿宋"/>
          <w:sz w:val="36"/>
        </w:rPr>
      </w:pPr>
    </w:p>
    <w:p>
      <w:pPr>
        <w:pStyle w:val="9"/>
        <w:rPr>
          <w:rFonts w:ascii="华文仿宋" w:hAnsi="华文仿宋" w:eastAsia="华文仿宋" w:cs="华文仿宋"/>
          <w:sz w:val="36"/>
        </w:rPr>
      </w:pPr>
    </w:p>
    <w:p>
      <w:pPr>
        <w:keepNext w:val="0"/>
        <w:keepLines w:val="0"/>
        <w:widowControl/>
        <w:suppressLineNumbers w:val="0"/>
        <w:jc w:val="center"/>
        <w:rPr>
          <w:rFonts w:ascii="inherit" w:hAnsi="inherit" w:eastAsia="微软雅黑" w:cs="宋体"/>
          <w:kern w:val="36"/>
          <w:sz w:val="28"/>
          <w:szCs w:val="28"/>
        </w:rPr>
        <w:sectPr>
          <w:pgSz w:w="11906" w:h="16838"/>
          <w:pgMar w:top="1440" w:right="1304" w:bottom="1440" w:left="1304" w:header="851" w:footer="992" w:gutter="0"/>
          <w:pgNumType w:start="0"/>
          <w:cols w:space="720" w:num="1"/>
          <w:titlePg/>
          <w:docGrid w:type="linesAndChars" w:linePitch="312" w:charSpace="0"/>
        </w:sectPr>
      </w:pPr>
    </w:p>
    <w:p>
      <w:pPr>
        <w:keepNext w:val="0"/>
        <w:keepLines w:val="0"/>
        <w:pageBreakBefore w:val="0"/>
        <w:widowControl/>
        <w:numPr>
          <w:ilvl w:val="0"/>
          <w:numId w:val="0"/>
        </w:numPr>
        <w:kinsoku/>
        <w:overflowPunct/>
        <w:topLinePunct w:val="0"/>
        <w:autoSpaceDE/>
        <w:autoSpaceDN/>
        <w:bidi w:val="0"/>
        <w:adjustRightInd/>
        <w:snapToGrid/>
        <w:spacing w:before="168" w:after="168" w:line="500" w:lineRule="exact"/>
        <w:jc w:val="center"/>
        <w:textAlignment w:val="auto"/>
        <w:rPr>
          <w:rFonts w:hint="eastAsia" w:ascii="华文仿宋" w:hAnsi="华文仿宋" w:cs="华文仿宋"/>
        </w:rPr>
      </w:pPr>
      <w:r>
        <w:rPr>
          <w:rFonts w:hint="eastAsia" w:ascii="华文仿宋" w:hAnsi="华文仿宋" w:cs="华文仿宋"/>
          <w:sz w:val="36"/>
          <w:szCs w:val="36"/>
          <w:lang w:val="en-US" w:eastAsia="zh-CN"/>
        </w:rPr>
        <w:t xml:space="preserve">第一章   </w:t>
      </w:r>
      <w:r>
        <w:rPr>
          <w:rFonts w:hint="eastAsia" w:ascii="华文仿宋" w:hAnsi="华文仿宋" w:cs="华文仿宋"/>
          <w:sz w:val="36"/>
          <w:szCs w:val="36"/>
        </w:rPr>
        <w:t>遴选邀请</w:t>
      </w:r>
    </w:p>
    <w:p>
      <w:pPr>
        <w:pStyle w:val="29"/>
        <w:numPr>
          <w:ilvl w:val="0"/>
          <w:numId w:val="0"/>
        </w:numPr>
        <w:autoSpaceDE w:val="0"/>
        <w:autoSpaceDN w:val="0"/>
        <w:spacing w:line="360" w:lineRule="exact"/>
        <w:ind w:leftChars="0" w:firstLine="480" w:firstLineChars="200"/>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keepNext w:val="0"/>
        <w:keepLines w:val="0"/>
        <w:pageBreakBefore w:val="0"/>
        <w:widowControl/>
        <w:numPr>
          <w:ilvl w:val="0"/>
          <w:numId w:val="1"/>
        </w:numPr>
        <w:kinsoku/>
        <w:wordWrap w:val="0"/>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4"/>
          <w:szCs w:val="24"/>
        </w:rPr>
        <w:t>项目</w:t>
      </w:r>
      <w:r>
        <w:rPr>
          <w:rFonts w:hint="eastAsia" w:ascii="宋体" w:hAnsi="宋体" w:eastAsia="宋体" w:cs="宋体"/>
          <w:b/>
          <w:bCs/>
          <w:color w:val="000000"/>
          <w:kern w:val="0"/>
          <w:sz w:val="24"/>
          <w:szCs w:val="24"/>
          <w:lang w:val="en-US" w:eastAsia="zh-CN"/>
        </w:rPr>
        <w:t>概况</w:t>
      </w:r>
      <w:r>
        <w:rPr>
          <w:rFonts w:hint="eastAsia" w:ascii="宋体" w:hAnsi="宋体" w:eastAsia="宋体" w:cs="宋体"/>
          <w:b/>
          <w:bCs/>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1、项目名称：</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5‘-核苷酸酶测定试剂盒（过氧化物酶法）</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000000" w:themeColor="text1"/>
          <w:sz w:val="24"/>
          <w:szCs w:val="24"/>
          <w:shd w:val="clear" w:color="auto" w:fill="F7F7F7"/>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遴选</w:t>
      </w:r>
      <w:r>
        <w:rPr>
          <w:rFonts w:hint="eastAsia" w:ascii="宋体" w:hAnsi="宋体" w:eastAsia="宋体" w:cs="宋体"/>
          <w:color w:val="000000" w:themeColor="text1"/>
          <w:kern w:val="0"/>
          <w:sz w:val="24"/>
          <w:szCs w:val="24"/>
          <w14:textFill>
            <w14:solidFill>
              <w14:schemeClr w14:val="tx1"/>
            </w14:solidFill>
          </w14:textFill>
        </w:rPr>
        <w:t>编号：</w:t>
      </w:r>
      <w:r>
        <w:rPr>
          <w:rFonts w:hint="eastAsia" w:ascii="宋体" w:hAnsi="宋体" w:eastAsia="宋体" w:cs="宋体"/>
          <w:color w:val="000000" w:themeColor="text1"/>
          <w:kern w:val="0"/>
          <w:sz w:val="24"/>
          <w:szCs w:val="24"/>
          <w:lang w:eastAsia="zh-CN"/>
          <w14:textFill>
            <w14:solidFill>
              <w14:schemeClr w14:val="tx1"/>
            </w14:solidFill>
          </w14:textFill>
        </w:rPr>
        <w:t>202</w:t>
      </w: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eastAsia="zh-CN"/>
          <w14:textFill>
            <w14:solidFill>
              <w14:schemeClr w14:val="tx1"/>
            </w14:solidFill>
          </w14:textFill>
        </w:rPr>
        <w:t>-ETLX</w:t>
      </w:r>
      <w:r>
        <w:rPr>
          <w:rFonts w:hint="eastAsia" w:ascii="宋体" w:hAnsi="宋体" w:eastAsia="宋体" w:cs="宋体"/>
          <w:color w:val="000000" w:themeColor="text1"/>
          <w:kern w:val="0"/>
          <w:sz w:val="24"/>
          <w:szCs w:val="24"/>
          <w:lang w:val="en-US" w:eastAsia="zh-CN"/>
          <w14:textFill>
            <w14:solidFill>
              <w14:schemeClr w14:val="tx1"/>
            </w14:solidFill>
          </w14:textFill>
        </w:rPr>
        <w:t>SJ</w:t>
      </w:r>
      <w:r>
        <w:rPr>
          <w:rFonts w:hint="eastAsia" w:ascii="宋体" w:hAnsi="宋体" w:eastAsia="宋体" w:cs="宋体"/>
          <w:color w:val="000000" w:themeColor="text1"/>
          <w:kern w:val="0"/>
          <w:sz w:val="24"/>
          <w:szCs w:val="24"/>
          <w:lang w:eastAsia="zh-CN"/>
          <w14:textFill>
            <w14:solidFill>
              <w14:schemeClr w14:val="tx1"/>
            </w14:solidFill>
          </w14:textFill>
        </w:rPr>
        <w:t>-00</w:t>
      </w:r>
      <w:r>
        <w:rPr>
          <w:rFonts w:hint="eastAsia" w:ascii="宋体" w:hAnsi="宋体" w:eastAsia="宋体" w:cs="宋体"/>
          <w:color w:val="000000" w:themeColor="text1"/>
          <w:kern w:val="0"/>
          <w:sz w:val="24"/>
          <w:szCs w:val="24"/>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w:t>
      </w:r>
      <w:bookmarkStart w:id="0" w:name="PO_项目内容数量及要求29"/>
      <w:r>
        <w:rPr>
          <w:rFonts w:hint="eastAsia" w:ascii="宋体" w:hAnsi="宋体" w:eastAsia="宋体" w:cs="宋体"/>
          <w:color w:val="000000" w:themeColor="text1"/>
          <w:kern w:val="0"/>
          <w:sz w:val="24"/>
          <w:szCs w:val="24"/>
          <w:highlight w:val="none"/>
          <w14:textFill>
            <w14:solidFill>
              <w14:schemeClr w14:val="tx1"/>
            </w14:solidFill>
          </w14:textFill>
        </w:rPr>
        <w:t>预估年使用量：</w:t>
      </w:r>
      <w:bookmarkEnd w:id="0"/>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10000</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检测/年</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供应期限：</w:t>
      </w:r>
      <w:r>
        <w:rPr>
          <w:rFonts w:hint="eastAsia" w:ascii="宋体" w:hAnsi="宋体" w:eastAsia="宋体" w:cs="宋体"/>
          <w:color w:val="000000" w:themeColor="text1"/>
          <w:kern w:val="0"/>
          <w:sz w:val="24"/>
          <w:szCs w:val="24"/>
          <w:lang w:val="en-US" w:eastAsia="zh-CN"/>
          <w14:textFill>
            <w14:solidFill>
              <w14:schemeClr w14:val="tx1"/>
            </w14:solidFill>
          </w14:textFill>
        </w:rPr>
        <w:t>3年</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、付款周期：对账后3个月</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、交付地址：</w:t>
      </w:r>
      <w:bookmarkStart w:id="1" w:name="PO_交付地址29"/>
      <w:r>
        <w:rPr>
          <w:rFonts w:hint="eastAsia" w:ascii="宋体" w:hAnsi="宋体" w:eastAsia="宋体" w:cs="宋体"/>
          <w:color w:val="000000" w:themeColor="text1"/>
          <w:kern w:val="0"/>
          <w:sz w:val="24"/>
          <w:szCs w:val="24"/>
          <w14:textFill>
            <w14:solidFill>
              <w14:schemeClr w14:val="tx1"/>
            </w14:solidFill>
          </w14:textFill>
        </w:rPr>
        <w:t>采购人指定</w:t>
      </w:r>
      <w:bookmarkEnd w:id="1"/>
      <w:r>
        <w:rPr>
          <w:rFonts w:hint="eastAsia" w:ascii="宋体" w:hAnsi="宋体" w:eastAsia="宋体" w:cs="宋体"/>
          <w:color w:val="000000" w:themeColor="text1"/>
          <w:kern w:val="0"/>
          <w:sz w:val="24"/>
          <w:szCs w:val="24"/>
          <w:lang w:val="en-US" w:eastAsia="zh-CN"/>
          <w14:textFill>
            <w14:solidFill>
              <w14:schemeClr w14:val="tx1"/>
            </w14:solidFill>
          </w14:textFill>
        </w:rPr>
        <w:t>地点；</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、交付日期：</w:t>
      </w:r>
      <w:bookmarkStart w:id="2" w:name="PO_交付日期29"/>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bookmarkEnd w:id="2"/>
      <w:r>
        <w:rPr>
          <w:rFonts w:hint="eastAsia" w:ascii="宋体" w:hAnsi="宋体" w:eastAsia="宋体" w:cs="宋体"/>
          <w:i w:val="0"/>
          <w:iCs w:val="0"/>
          <w:color w:val="000000"/>
          <w:kern w:val="0"/>
          <w:sz w:val="24"/>
          <w:szCs w:val="24"/>
          <w:u w:val="none"/>
          <w:lang w:val="en-US" w:eastAsia="zh-CN" w:bidi="ar"/>
        </w:rPr>
        <w:t>。</w:t>
      </w: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二、投标人资质要求：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1、中华人民共和国境内注册的，具有独立承担民事责任的能力；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2、参加采购活动前三年内，在经营活动中没有重大违法记录；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3、自开展经营活动以来，未有过行贿犯罪记录；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4、投标人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5、</w:t>
      </w:r>
      <w:r>
        <w:rPr>
          <w:rFonts w:hint="eastAsia" w:ascii="宋体" w:hAnsi="宋体" w:eastAsia="宋体" w:cs="宋体"/>
          <w:i w:val="0"/>
          <w:iCs w:val="0"/>
          <w:caps w:val="0"/>
          <w:color w:val="auto"/>
          <w:spacing w:val="0"/>
          <w:sz w:val="24"/>
          <w:szCs w:val="24"/>
          <w:highlight w:val="none"/>
        </w:rPr>
        <w:t>未被“信用中国”网站（www.creditchina.gov.cn）列入失信被执行人、重大税收违法案件当事人名单</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6、投标人为代理商的，须提供制造商授权的完整连续且有效的代理证明文件。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7、</w:t>
      </w:r>
      <w:r>
        <w:rPr>
          <w:rFonts w:hint="eastAsia" w:ascii="宋体" w:hAnsi="宋体" w:eastAsia="宋体" w:cs="宋体"/>
          <w:i w:val="0"/>
          <w:iCs w:val="0"/>
          <w:caps w:val="0"/>
          <w:color w:val="auto"/>
          <w:spacing w:val="0"/>
          <w:sz w:val="24"/>
          <w:szCs w:val="24"/>
          <w:highlight w:val="none"/>
        </w:rPr>
        <w:t>本项目不接受联合体投标</w:t>
      </w:r>
      <w:r>
        <w:rPr>
          <w:rFonts w:hint="eastAsia" w:ascii="宋体" w:hAnsi="宋体" w:eastAsia="宋体" w:cs="宋体"/>
          <w:i w:val="0"/>
          <w:iCs w:val="0"/>
          <w:caps w:val="0"/>
          <w:color w:val="auto"/>
          <w:spacing w:val="0"/>
          <w:sz w:val="24"/>
          <w:szCs w:val="24"/>
          <w:highlight w:val="none"/>
          <w:lang w:eastAsia="zh-CN"/>
        </w:rPr>
        <w:t>。</w:t>
      </w: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三、报名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及开标时间、地点</w:t>
      </w:r>
    </w:p>
    <w:tbl>
      <w:tblPr>
        <w:tblStyle w:val="14"/>
        <w:tblpPr w:leftFromText="180" w:rightFromText="180" w:vertAnchor="text" w:horzAnchor="page" w:tblpX="1556" w:tblpY="358"/>
        <w:tblOverlap w:val="never"/>
        <w:tblW w:w="9311" w:type="dxa"/>
        <w:tblInd w:w="0" w:type="dxa"/>
        <w:tblLayout w:type="fixed"/>
        <w:tblCellMar>
          <w:top w:w="0" w:type="dxa"/>
          <w:left w:w="108" w:type="dxa"/>
          <w:bottom w:w="0" w:type="dxa"/>
          <w:right w:w="108" w:type="dxa"/>
        </w:tblCellMar>
      </w:tblPr>
      <w:tblGrid>
        <w:gridCol w:w="958"/>
        <w:gridCol w:w="1823"/>
        <w:gridCol w:w="1569"/>
        <w:gridCol w:w="4961"/>
      </w:tblGrid>
      <w:tr>
        <w:tblPrEx>
          <w:tblCellMar>
            <w:top w:w="0" w:type="dxa"/>
            <w:left w:w="108" w:type="dxa"/>
            <w:bottom w:w="0" w:type="dxa"/>
            <w:right w:w="108" w:type="dxa"/>
          </w:tblCellMar>
        </w:tblPrEx>
        <w:trPr>
          <w:trHeight w:val="812"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rPr>
              <w:t>包件号</w:t>
            </w:r>
          </w:p>
        </w:tc>
        <w:tc>
          <w:tcPr>
            <w:tcW w:w="1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项目名称</w:t>
            </w:r>
          </w:p>
        </w:tc>
        <w:tc>
          <w:tcPr>
            <w:tcW w:w="15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1"/>
                <w:lang w:val="en-US" w:eastAsia="zh-CN"/>
              </w:rPr>
            </w:pPr>
            <w:r>
              <w:rPr>
                <w:rFonts w:hint="eastAsia" w:ascii="宋体" w:hAnsi="宋体"/>
                <w:szCs w:val="21"/>
                <w:lang w:val="en-US" w:eastAsia="zh-CN"/>
              </w:rPr>
              <w:t>年预估</w:t>
            </w:r>
          </w:p>
          <w:p>
            <w:pPr>
              <w:widowControl/>
              <w:jc w:val="center"/>
              <w:rPr>
                <w:rFonts w:ascii="宋体" w:hAnsi="宋体"/>
                <w:szCs w:val="21"/>
              </w:rPr>
            </w:pPr>
            <w:r>
              <w:rPr>
                <w:rFonts w:hint="eastAsia" w:ascii="宋体" w:hAnsi="宋体"/>
                <w:szCs w:val="21"/>
                <w:lang w:val="en-US" w:eastAsia="zh-CN"/>
              </w:rPr>
              <w:t>使用</w:t>
            </w:r>
            <w:r>
              <w:rPr>
                <w:rFonts w:hint="eastAsia" w:ascii="宋体" w:hAnsi="宋体"/>
                <w:szCs w:val="21"/>
              </w:rPr>
              <w:t>量</w:t>
            </w:r>
          </w:p>
        </w:tc>
        <w:tc>
          <w:tcPr>
            <w:tcW w:w="49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lang w:eastAsia="zh-CN"/>
              </w:rPr>
              <w:t>“</w:t>
            </w:r>
            <w:r>
              <w:rPr>
                <w:rFonts w:hint="eastAsia" w:ascii="宋体" w:hAnsi="宋体"/>
                <w:szCs w:val="21"/>
                <w:lang w:val="en-US" w:eastAsia="zh-CN"/>
              </w:rPr>
              <w:t>预约登记</w:t>
            </w:r>
            <w:r>
              <w:rPr>
                <w:rFonts w:hint="eastAsia" w:ascii="宋体" w:hAnsi="宋体"/>
                <w:szCs w:val="21"/>
                <w:lang w:eastAsia="zh-CN"/>
              </w:rPr>
              <w:t>”</w:t>
            </w:r>
            <w:r>
              <w:rPr>
                <w:rFonts w:hint="eastAsia" w:ascii="宋体" w:hAnsi="宋体"/>
                <w:szCs w:val="21"/>
              </w:rPr>
              <w:t>链接</w:t>
            </w:r>
          </w:p>
        </w:tc>
      </w:tr>
      <w:tr>
        <w:tblPrEx>
          <w:tblCellMar>
            <w:top w:w="0" w:type="dxa"/>
            <w:left w:w="108" w:type="dxa"/>
            <w:bottom w:w="0" w:type="dxa"/>
            <w:right w:w="108" w:type="dxa"/>
          </w:tblCellMar>
        </w:tblPrEx>
        <w:trPr>
          <w:trHeight w:val="2801"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01</w:t>
            </w:r>
          </w:p>
        </w:tc>
        <w:tc>
          <w:tcPr>
            <w:tcW w:w="1823" w:type="dxa"/>
            <w:tcBorders>
              <w:top w:val="single" w:color="auto" w:sz="4" w:space="0"/>
              <w:left w:val="nil"/>
              <w:bottom w:val="single" w:color="auto" w:sz="4" w:space="0"/>
              <w:right w:val="single" w:color="auto" w:sz="4" w:space="0"/>
            </w:tcBorders>
            <w:noWrap w:val="0"/>
            <w:vAlign w:val="center"/>
          </w:tcPr>
          <w:p>
            <w:pPr>
              <w:widowControl/>
              <w:jc w:val="center"/>
              <w:rPr>
                <w:rFonts w:hint="eastAsia"/>
                <w:lang w:eastAsia="zh-CN"/>
              </w:rPr>
            </w:pPr>
            <w:r>
              <w:rPr>
                <w:rFonts w:hint="eastAsia"/>
                <w:lang w:eastAsia="zh-CN"/>
              </w:rPr>
              <w:t>5‘-核苷酸酶测定试剂盒</w:t>
            </w:r>
          </w:p>
          <w:p>
            <w:pPr>
              <w:pStyle w:val="2"/>
            </w:pPr>
            <w:r>
              <w:rPr>
                <w:rFonts w:hint="eastAsia" w:asciiTheme="minorHAnsi" w:hAnsiTheme="minorHAnsi" w:eastAsiaTheme="minorEastAsia" w:cstheme="minorBidi"/>
                <w:kern w:val="2"/>
                <w:sz w:val="21"/>
                <w:szCs w:val="22"/>
                <w:lang w:val="en-US" w:eastAsia="zh-CN" w:bidi="ar-SA"/>
              </w:rPr>
              <w:t>（过氧化物酶法）</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FF0000"/>
                <w:sz w:val="21"/>
                <w:szCs w:val="21"/>
                <w:highlight w:val="yellow"/>
                <w:lang w:val="en-US" w:eastAsia="zh-CN"/>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10000</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检测/年</w:t>
            </w:r>
          </w:p>
        </w:tc>
        <w:tc>
          <w:tcPr>
            <w:tcW w:w="496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highlight w:val="yellow"/>
              </w:rPr>
            </w:pPr>
            <w:r>
              <w:rPr>
                <w:rFonts w:ascii="宋体" w:hAnsi="宋体" w:eastAsia="宋体" w:cs="宋体"/>
                <w:sz w:val="24"/>
                <w:szCs w:val="24"/>
              </w:rPr>
              <w:drawing>
                <wp:inline distT="0" distB="0" distL="114300" distR="114300">
                  <wp:extent cx="1254760" cy="1254760"/>
                  <wp:effectExtent l="0" t="0" r="2540" b="25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1254760" cy="1254760"/>
                          </a:xfrm>
                          <a:prstGeom prst="rect">
                            <a:avLst/>
                          </a:prstGeom>
                          <a:noFill/>
                          <a:ln w="9525">
                            <a:noFill/>
                          </a:ln>
                        </pic:spPr>
                      </pic:pic>
                    </a:graphicData>
                  </a:graphic>
                </wp:inline>
              </w:drawing>
            </w:r>
          </w:p>
          <w:p>
            <w:pPr>
              <w:jc w:val="left"/>
              <w:rPr>
                <w:rFonts w:ascii="宋体" w:hAnsi="宋体"/>
                <w:szCs w:val="21"/>
                <w:highlight w:val="yellow"/>
              </w:rPr>
            </w:pPr>
            <w:r>
              <w:rPr>
                <w:rFonts w:hint="eastAsia" w:ascii="宋体" w:hAnsi="宋体"/>
                <w:szCs w:val="21"/>
                <w:highlight w:val="none"/>
              </w:rPr>
              <w:t>https://gysgl.shchildren.com.cn:9088/hospital-supplier/hospital/visit?pc=00014360</w:t>
            </w:r>
          </w:p>
        </w:tc>
      </w:tr>
    </w:tbl>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5</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30</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06</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在上海市儿童医院官网中“医院动0态”栏的“招标公示”界面下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自行下载遴选文件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开标时间、地点</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rPr>
        <w:t>请于</w:t>
      </w:r>
      <w:r>
        <w:rPr>
          <w:rFonts w:hint="eastAsia" w:ascii="宋体" w:hAnsi="宋体" w:eastAsia="宋体" w:cs="宋体"/>
          <w:b/>
          <w:bCs/>
          <w:color w:val="FF0000"/>
          <w:kern w:val="2"/>
          <w:sz w:val="24"/>
          <w:szCs w:val="24"/>
          <w:lang w:val="en-US" w:eastAsia="zh-CN" w:bidi="ar-SA"/>
        </w:rPr>
        <w:t>2023年06月</w:t>
      </w:r>
      <w:r>
        <w:rPr>
          <w:rFonts w:hint="eastAsia" w:cs="宋体"/>
          <w:b/>
          <w:bCs/>
          <w:color w:val="FF0000"/>
          <w:kern w:val="2"/>
          <w:sz w:val="24"/>
          <w:szCs w:val="24"/>
          <w:lang w:val="en-US" w:eastAsia="zh-CN" w:bidi="ar-SA"/>
        </w:rPr>
        <w:t>07</w:t>
      </w:r>
      <w:r>
        <w:rPr>
          <w:rFonts w:hint="eastAsia" w:ascii="宋体" w:hAnsi="宋体" w:eastAsia="宋体" w:cs="宋体"/>
          <w:b/>
          <w:bCs/>
          <w:color w:val="FF0000"/>
          <w:kern w:val="2"/>
          <w:sz w:val="24"/>
          <w:szCs w:val="24"/>
          <w:lang w:val="en-US" w:eastAsia="zh-CN" w:bidi="ar-SA"/>
        </w:rPr>
        <w:t>日北京时间14:</w:t>
      </w:r>
      <w:r>
        <w:rPr>
          <w:rFonts w:hint="eastAsia" w:cs="宋体"/>
          <w:b/>
          <w:bCs/>
          <w:color w:val="FF0000"/>
          <w:kern w:val="2"/>
          <w:sz w:val="24"/>
          <w:szCs w:val="24"/>
          <w:lang w:val="en-US" w:eastAsia="zh-CN" w:bidi="ar-SA"/>
        </w:rPr>
        <w:t>45</w:t>
      </w:r>
      <w:r>
        <w:rPr>
          <w:rFonts w:hint="eastAsia" w:ascii="宋体" w:hAnsi="宋体" w:eastAsia="宋体" w:cs="宋体"/>
          <w:b/>
          <w:bCs/>
          <w:color w:val="FF0000"/>
          <w:kern w:val="2"/>
          <w:sz w:val="24"/>
          <w:szCs w:val="24"/>
          <w:lang w:val="en-US" w:eastAsia="zh-CN" w:bidi="ar-SA"/>
        </w:rPr>
        <w:t>至上海市泸定路355号住院部503会议室</w:t>
      </w:r>
      <w:r>
        <w:rPr>
          <w:rFonts w:hint="eastAsia" w:ascii="宋体" w:hAnsi="宋体" w:eastAsia="宋体" w:cs="宋体"/>
          <w:i w:val="0"/>
          <w:iCs w:val="0"/>
          <w:caps w:val="0"/>
          <w:color w:val="auto"/>
          <w:spacing w:val="0"/>
          <w:sz w:val="24"/>
          <w:szCs w:val="24"/>
          <w:highlight w:val="none"/>
        </w:rPr>
        <w:t>参与本项目</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lang w:val="en-US" w:eastAsia="zh-CN"/>
        </w:rPr>
        <w:t>开标</w:t>
      </w:r>
      <w:r>
        <w:rPr>
          <w:rFonts w:hint="eastAsia" w:ascii="宋体" w:hAnsi="宋体" w:eastAsia="宋体" w:cs="宋体"/>
          <w:i w:val="0"/>
          <w:iCs w:val="0"/>
          <w:caps w:val="0"/>
          <w:color w:val="auto"/>
          <w:spacing w:val="0"/>
          <w:sz w:val="24"/>
          <w:szCs w:val="24"/>
          <w:highlight w:val="none"/>
        </w:rPr>
        <w:t>。届时供应商</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派代表出席</w:t>
      </w:r>
      <w:r>
        <w:rPr>
          <w:rFonts w:hint="eastAsia" w:ascii="宋体" w:hAnsi="宋体" w:eastAsia="宋体" w:cs="宋体"/>
          <w:i w:val="0"/>
          <w:iCs w:val="0"/>
          <w:caps w:val="0"/>
          <w:color w:val="auto"/>
          <w:spacing w:val="0"/>
          <w:sz w:val="24"/>
          <w:szCs w:val="24"/>
          <w:highlight w:val="none"/>
          <w:lang w:val="en-US" w:eastAsia="zh-CN"/>
        </w:rPr>
        <w:t>开标会</w:t>
      </w:r>
      <w:r>
        <w:rPr>
          <w:rFonts w:hint="eastAsia" w:ascii="宋体" w:hAnsi="宋体" w:eastAsia="宋体" w:cs="宋体"/>
          <w:i w:val="0"/>
          <w:iCs w:val="0"/>
          <w:caps w:val="0"/>
          <w:color w:val="auto"/>
          <w:spacing w:val="0"/>
          <w:sz w:val="24"/>
          <w:szCs w:val="24"/>
          <w:highlight w:val="none"/>
        </w:rPr>
        <w:t>，并递交</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rPr>
        <w:t>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遴选响应</w:t>
      </w:r>
      <w:r>
        <w:rPr>
          <w:rFonts w:hint="eastAsia" w:ascii="宋体" w:hAnsi="宋体" w:eastAsia="宋体" w:cs="宋体"/>
          <w:sz w:val="24"/>
          <w:szCs w:val="24"/>
        </w:rPr>
        <w:t>文件要求</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遴选</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资格。</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Autospacing="0" w:line="460" w:lineRule="exact"/>
        <w:ind w:left="0" w:right="0" w:firstLine="480" w:firstLineChars="200"/>
        <w:jc w:val="left"/>
        <w:textAlignment w:val="auto"/>
        <w:rPr>
          <w:rFonts w:hint="eastAsia" w:ascii="宋体" w:hAnsi="宋体" w:eastAsia="宋体" w:cs="宋体"/>
          <w:i w:val="0"/>
          <w:iCs w:val="0"/>
          <w:caps w:val="0"/>
          <w:color w:val="auto"/>
          <w:spacing w:val="0"/>
          <w:kern w:val="0"/>
          <w:sz w:val="24"/>
          <w:szCs w:val="24"/>
          <w:lang w:val="en-US" w:eastAsia="zh-CN" w:bidi="ar"/>
        </w:rPr>
      </w:pP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四、</w:t>
      </w:r>
      <w:r>
        <w:rPr>
          <w:rFonts w:hint="eastAsia" w:ascii="宋体" w:hAnsi="宋体" w:eastAsia="宋体" w:cs="宋体"/>
          <w:b/>
          <w:bCs/>
          <w:color w:val="000000" w:themeColor="text1"/>
          <w:kern w:val="0"/>
          <w:sz w:val="24"/>
          <w:szCs w:val="24"/>
          <w14:textFill>
            <w14:solidFill>
              <w14:schemeClr w14:val="tx1"/>
            </w14:solidFill>
          </w14:textFill>
        </w:rPr>
        <w:t>技术要求：</w:t>
      </w:r>
    </w:p>
    <w:p>
      <w:pPr>
        <w:keepNext w:val="0"/>
        <w:keepLines w:val="0"/>
        <w:pageBreakBefore w:val="0"/>
        <w:kinsoku/>
        <w:overflowPunct/>
        <w:topLinePunct w:val="0"/>
        <w:bidi w:val="0"/>
        <w:spacing w:line="460" w:lineRule="exac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试剂名称：</w:t>
      </w:r>
      <w:r>
        <w:rPr>
          <w:rFonts w:ascii="宋体" w:hAnsi="宋体" w:eastAsia="宋体" w:cs="宋体"/>
          <w:color w:val="000000" w:themeColor="text1"/>
          <w:kern w:val="0"/>
          <w:sz w:val="24"/>
          <w:szCs w:val="24"/>
          <w:lang w:eastAsia="zh-CN"/>
          <w14:textFill>
            <w14:solidFill>
              <w14:schemeClr w14:val="tx1"/>
            </w14:solidFill>
          </w14:textFill>
        </w:rPr>
        <w:t>5‘-核苷酸酶测定试剂盒（过氧化物酶法）</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kinsoku/>
        <w:overflowPunct/>
        <w:topLinePunct w:val="0"/>
        <w:bidi w:val="0"/>
        <w:spacing w:line="460" w:lineRule="exac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年预估使用量：10000检测/年</w:t>
      </w:r>
    </w:p>
    <w:tbl>
      <w:tblPr>
        <w:tblStyle w:val="14"/>
        <w:tblW w:w="8435" w:type="dxa"/>
        <w:tblInd w:w="-25" w:type="dxa"/>
        <w:tblLayout w:type="fixed"/>
        <w:tblCellMar>
          <w:top w:w="0" w:type="dxa"/>
          <w:left w:w="108" w:type="dxa"/>
          <w:bottom w:w="0" w:type="dxa"/>
          <w:right w:w="108" w:type="dxa"/>
        </w:tblCellMar>
      </w:tblPr>
      <w:tblGrid>
        <w:gridCol w:w="1262"/>
        <w:gridCol w:w="7173"/>
      </w:tblGrid>
      <w:tr>
        <w:tblPrEx>
          <w:tblCellMar>
            <w:top w:w="0" w:type="dxa"/>
            <w:left w:w="108" w:type="dxa"/>
            <w:bottom w:w="0" w:type="dxa"/>
            <w:right w:w="108" w:type="dxa"/>
          </w:tblCellMar>
        </w:tblPrEx>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bidi="ar"/>
                <w14:textFill>
                  <w14:solidFill>
                    <w14:schemeClr w14:val="tx1"/>
                  </w14:solidFill>
                </w14:textFill>
              </w:rPr>
              <w:t>序号</w:t>
            </w:r>
          </w:p>
        </w:tc>
        <w:tc>
          <w:tcPr>
            <w:tcW w:w="7173"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试剂使用要求</w:t>
            </w:r>
          </w:p>
        </w:tc>
      </w:tr>
      <w:tr>
        <w:tblPrEx>
          <w:tblCellMar>
            <w:top w:w="0" w:type="dxa"/>
            <w:left w:w="108" w:type="dxa"/>
            <w:bottom w:w="0" w:type="dxa"/>
            <w:right w:w="108" w:type="dxa"/>
          </w:tblCellMar>
        </w:tblPrEx>
        <w:trPr>
          <w:trHeight w:val="60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71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1.1</w:t>
            </w:r>
          </w:p>
        </w:tc>
        <w:tc>
          <w:tcPr>
            <w:tcW w:w="71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color w:val="000000" w:themeColor="text1"/>
                <w:sz w:val="24"/>
                <w:szCs w:val="24"/>
                <w:lang w:eastAsia="zh-CN" w:bidi="ar"/>
                <w14:textFill>
                  <w14:solidFill>
                    <w14:schemeClr w14:val="tx1"/>
                  </w14:solidFill>
                </w14:textFill>
              </w:rPr>
              <w:t>用途：用于体外定量测定人血清或血浆样本中</w:t>
            </w:r>
            <w:r>
              <w:rPr>
                <w:color w:val="000000" w:themeColor="text1"/>
                <w:sz w:val="24"/>
                <w:szCs w:val="24"/>
                <w:lang w:eastAsia="zh-CN" w:bidi="ar"/>
                <w14:textFill>
                  <w14:solidFill>
                    <w14:schemeClr w14:val="tx1"/>
                  </w14:solidFill>
                </w14:textFill>
              </w:rPr>
              <w:t>5’-核苷酸酶(5’-NT)的活性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1.2</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1.2.1</w:t>
            </w:r>
          </w:p>
        </w:tc>
        <w:tc>
          <w:tcPr>
            <w:tcW w:w="71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color w:val="000000" w:themeColor="text1"/>
                <w:sz w:val="24"/>
                <w:szCs w:val="24"/>
                <w:lang w:eastAsia="zh-CN" w:bidi="ar"/>
                <w14:textFill>
                  <w14:solidFill>
                    <w14:schemeClr w14:val="tx1"/>
                  </w14:solidFill>
                </w14:textFill>
              </w:rPr>
              <w:t>检测方法：过氧化物酶法</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1.2.2</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精密度：批内重复性</w:t>
            </w:r>
            <w:r>
              <w:rPr>
                <w:color w:val="000000" w:themeColor="text1"/>
                <w:sz w:val="24"/>
                <w:szCs w:val="24"/>
                <w:lang w:eastAsia="zh-CN"/>
                <w14:textFill>
                  <w14:solidFill>
                    <w14:schemeClr w14:val="tx1"/>
                  </w14:solidFill>
                </w14:textFill>
              </w:rPr>
              <w:t xml:space="preserve"> CV≤5.0%、批间差 R≤10.0%</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1.2.3</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准确度：相对偏差±</w:t>
            </w:r>
            <w:r>
              <w:rPr>
                <w:color w:val="000000" w:themeColor="text1"/>
                <w:sz w:val="24"/>
                <w:szCs w:val="24"/>
                <w:lang w:eastAsia="zh-CN"/>
                <w14:textFill>
                  <w14:solidFill>
                    <w14:schemeClr w14:val="tx1"/>
                  </w14:solidFill>
                </w14:textFill>
              </w:rPr>
              <w:t>10.0%</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eastAsia="zh-CN" w:bidi="ar"/>
                <w14:textFill>
                  <w14:solidFill>
                    <w14:schemeClr w14:val="tx1"/>
                  </w14:solidFill>
                </w14:textFill>
              </w:rPr>
              <w:t>1.2.4</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线性范围（</w:t>
            </w:r>
            <w:r>
              <w:rPr>
                <w:color w:val="000000" w:themeColor="text1"/>
                <w:sz w:val="24"/>
                <w:szCs w:val="24"/>
                <w:lang w:eastAsia="zh-CN"/>
                <w14:textFill>
                  <w14:solidFill>
                    <w14:schemeClr w14:val="tx1"/>
                  </w14:solidFill>
                </w14:textFill>
              </w:rPr>
              <w:t>3-300UL），相关系数r≥0.990</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1.2.5</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textAlignment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color w:val="000000" w:themeColor="text1"/>
                <w:sz w:val="24"/>
                <w:szCs w:val="24"/>
                <w:lang w:eastAsia="zh-CN"/>
                <w14:textFill>
                  <w14:solidFill>
                    <w14:schemeClr w14:val="tx1"/>
                  </w14:solidFill>
                </w14:textFill>
              </w:rPr>
              <w:t>适配仪器</w:t>
            </w:r>
            <w:r>
              <w:rPr>
                <w:rFonts w:hint="eastAsia"/>
                <w:color w:val="000000" w:themeColor="text1"/>
                <w:sz w:val="24"/>
                <w:szCs w:val="24"/>
                <w:lang w:eastAsia="zh-CN"/>
                <w14:textFill>
                  <w14:solidFill>
                    <w14:schemeClr w14:val="tx1"/>
                  </w14:solidFill>
                </w14:textFill>
              </w:rPr>
              <w:t>：贝克曼</w:t>
            </w:r>
            <w:r>
              <w:rPr>
                <w:color w:val="000000" w:themeColor="text1"/>
                <w:sz w:val="24"/>
                <w:szCs w:val="24"/>
                <w:lang w:eastAsia="zh-CN"/>
                <w14:textFill>
                  <w14:solidFill>
                    <w14:schemeClr w14:val="tx1"/>
                  </w14:solidFill>
                </w14:textFill>
              </w:rPr>
              <w:t>AU5800</w:t>
            </w:r>
          </w:p>
        </w:tc>
      </w:tr>
      <w:tr>
        <w:tblPrEx>
          <w:tblCellMar>
            <w:top w:w="0" w:type="dxa"/>
            <w:left w:w="108" w:type="dxa"/>
            <w:bottom w:w="0" w:type="dxa"/>
            <w:right w:w="108" w:type="dxa"/>
          </w:tblCellMar>
        </w:tblPrEx>
        <w:trPr>
          <w:trHeight w:val="488"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通用条款</w:t>
            </w:r>
          </w:p>
        </w:tc>
      </w:tr>
      <w:tr>
        <w:tblPrEx>
          <w:tblCellMar>
            <w:top w:w="0" w:type="dxa"/>
            <w:left w:w="108" w:type="dxa"/>
            <w:bottom w:w="0" w:type="dxa"/>
            <w:right w:w="108" w:type="dxa"/>
          </w:tblCellMar>
        </w:tblPrEx>
        <w:trPr>
          <w:trHeight w:val="53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接到院方通知后保证72小时内配送服务，保障临床需求</w:t>
            </w:r>
          </w:p>
        </w:tc>
      </w:tr>
      <w:tr>
        <w:tblPrEx>
          <w:tblCellMar>
            <w:top w:w="0" w:type="dxa"/>
            <w:left w:w="108" w:type="dxa"/>
            <w:bottom w:w="0" w:type="dxa"/>
            <w:right w:w="108" w:type="dxa"/>
          </w:tblCellMar>
        </w:tblPrEx>
        <w:trPr>
          <w:trHeight w:val="73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w:t>
            </w:r>
          </w:p>
        </w:tc>
        <w:tc>
          <w:tcPr>
            <w:tcW w:w="71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若因产品质量问题或由于临床指导、技术培训不够完善，引起的病员伤害及一切不良后果，投标人将承担由此引发的全部法律责任及经济赔偿</w:t>
            </w:r>
          </w:p>
        </w:tc>
      </w:tr>
    </w:tbl>
    <w:p>
      <w:pPr>
        <w:pStyle w:val="29"/>
        <w:keepNext w:val="0"/>
        <w:keepLines w:val="0"/>
        <w:pageBreakBefore w:val="0"/>
        <w:widowControl w:val="0"/>
        <w:numPr>
          <w:ilvl w:val="0"/>
          <w:numId w:val="0"/>
        </w:numPr>
        <w:kinsoku/>
        <w:wordWrap/>
        <w:overflowPunct/>
        <w:topLinePunct w:val="0"/>
        <w:autoSpaceDE w:val="0"/>
        <w:autoSpaceDN w:val="0"/>
        <w:bidi w:val="0"/>
        <w:spacing w:line="460" w:lineRule="exact"/>
        <w:ind w:leftChars="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、评审原则及方法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1、遴选</w:t>
      </w:r>
      <w:r>
        <w:rPr>
          <w:rFonts w:hint="eastAsia" w:ascii="宋体" w:hAnsi="宋体" w:eastAsia="宋体" w:cs="宋体"/>
          <w:color w:val="000000" w:themeColor="text1"/>
          <w:sz w:val="24"/>
          <w:szCs w:val="24"/>
          <w:highlight w:val="none"/>
          <w14:textFill>
            <w14:solidFill>
              <w14:schemeClr w14:val="tx1"/>
            </w14:solidFill>
          </w14:textFill>
        </w:rPr>
        <w:t>文件中凡标有“★”的条款</w:t>
      </w:r>
      <w:r>
        <w:rPr>
          <w:rFonts w:hint="eastAsia" w:ascii="宋体" w:hAnsi="宋体" w:eastAsia="宋体" w:cs="宋体"/>
          <w:color w:val="000000" w:themeColor="text1"/>
          <w:sz w:val="24"/>
          <w:szCs w:val="24"/>
          <w:highlight w:val="none"/>
          <w:lang w:val="en-US" w:eastAsia="zh-CN"/>
          <w14:textFill>
            <w14:solidFill>
              <w14:schemeClr w14:val="tx1"/>
            </w14:solidFill>
          </w14:textFill>
        </w:rPr>
        <w:t>为</w:t>
      </w:r>
      <w:r>
        <w:rPr>
          <w:rFonts w:hint="eastAsia" w:ascii="宋体" w:hAnsi="宋体" w:eastAsia="宋体" w:cs="宋体"/>
          <w:color w:val="000000" w:themeColor="text1"/>
          <w:sz w:val="24"/>
          <w:szCs w:val="24"/>
          <w:highlight w:val="none"/>
          <w14:textFill>
            <w14:solidFill>
              <w14:schemeClr w14:val="tx1"/>
            </w14:solidFill>
          </w14:textFill>
        </w:rPr>
        <w:t>实质性要求条款，如不满足投标无效</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2、遴选</w:t>
      </w:r>
      <w:r>
        <w:rPr>
          <w:rFonts w:hint="eastAsia" w:ascii="宋体" w:hAnsi="宋体" w:eastAsia="宋体" w:cs="宋体"/>
          <w:color w:val="000000" w:themeColor="text1"/>
          <w:sz w:val="24"/>
          <w:szCs w:val="24"/>
          <w:highlight w:val="none"/>
          <w14:textFill>
            <w14:solidFill>
              <w14:schemeClr w14:val="tx1"/>
            </w14:solidFill>
          </w14:textFill>
        </w:rPr>
        <w:t>采用综合评分法进行评审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采购委员会根据综合得分进行</w:t>
      </w:r>
      <w:r>
        <w:rPr>
          <w:rFonts w:hint="eastAsia" w:ascii="宋体" w:hAnsi="宋体" w:eastAsia="宋体" w:cs="宋体"/>
          <w:color w:val="000000" w:themeColor="text1"/>
          <w:sz w:val="24"/>
          <w:szCs w:val="24"/>
          <w:highlight w:val="none"/>
          <w14:textFill>
            <w14:solidFill>
              <w14:schemeClr w14:val="tx1"/>
            </w14:solidFill>
          </w14:textFill>
        </w:rPr>
        <w:t>排名，排名第一的为中标候选人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具体评分标准如下：</w:t>
      </w:r>
    </w:p>
    <w:tbl>
      <w:tblPr>
        <w:tblStyle w:val="15"/>
        <w:tblW w:w="883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7"/>
        <w:gridCol w:w="1200"/>
        <w:gridCol w:w="5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评分项目</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分值</w:t>
            </w:r>
          </w:p>
        </w:tc>
        <w:tc>
          <w:tcPr>
            <w:tcW w:w="512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评分要点及说明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报价得分</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0-40</w:t>
            </w:r>
          </w:p>
        </w:tc>
        <w:tc>
          <w:tcPr>
            <w:tcW w:w="5122" w:type="dxa"/>
            <w:vAlign w:val="center"/>
          </w:tcPr>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N＝40*所有投标中的有效最低投标报价/合格投标人的投标报价。</w:t>
            </w:r>
          </w:p>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说明：“N”表示报价得分；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 </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技术性能</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0</w:t>
            </w:r>
          </w:p>
        </w:tc>
        <w:tc>
          <w:tcPr>
            <w:tcW w:w="512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（1）投标产品技术参数符合招标文件所有实质性要求的，得满分40分；（2）投标产品一般技术参数低于招标文件要求，有一项减3分；“▲”条款低于招标文件要求的，扣5分。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17" w:type="dxa"/>
            <w:vAlign w:val="center"/>
          </w:tcPr>
          <w:p>
            <w:pPr>
              <w:adjustRightInd w:val="0"/>
              <w:snapToGrid w:val="0"/>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highlight w:val="none"/>
              </w:rPr>
              <w:t xml:space="preserve">3 </w:t>
            </w:r>
            <w:r>
              <w:rPr>
                <w:rFonts w:hint="eastAsia" w:ascii="宋体" w:hAnsi="宋体" w:eastAsia="宋体" w:cs="宋体"/>
                <w:sz w:val="24"/>
                <w:highlight w:val="none"/>
                <w:lang w:val="en-US" w:eastAsia="zh-CN"/>
              </w:rPr>
              <w:t>综合实力</w:t>
            </w:r>
          </w:p>
        </w:tc>
        <w:tc>
          <w:tcPr>
            <w:tcW w:w="1200" w:type="dxa"/>
            <w:vAlign w:val="center"/>
          </w:tcPr>
          <w:p>
            <w:pPr>
              <w:adjustRightInd w:val="0"/>
              <w:snapToGrid w:val="0"/>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sz w:val="24"/>
                <w:highlight w:val="none"/>
              </w:rPr>
              <w:t>0-5</w:t>
            </w:r>
          </w:p>
        </w:tc>
        <w:tc>
          <w:tcPr>
            <w:tcW w:w="5122" w:type="dxa"/>
            <w:vAlign w:val="center"/>
          </w:tcPr>
          <w:p>
            <w:pPr>
              <w:spacing w:line="360" w:lineRule="auto"/>
              <w:rPr>
                <w:rFonts w:ascii="宋体" w:hAnsi="宋体"/>
                <w:sz w:val="24"/>
                <w:highlight w:val="none"/>
              </w:rPr>
            </w:pPr>
            <w:r>
              <w:rPr>
                <w:rFonts w:hint="eastAsia" w:ascii="宋体" w:hAnsi="宋体"/>
                <w:sz w:val="24"/>
                <w:highlight w:val="none"/>
              </w:rPr>
              <w:t>根据参选人的企业资质、所获荣誉、财务能力等综合评定。</w:t>
            </w:r>
          </w:p>
          <w:p>
            <w:pPr>
              <w:adjustRightInd w:val="0"/>
              <w:snapToGrid w:val="0"/>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分；较差，得0分（含）-</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3"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售后服务</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5</w:t>
            </w:r>
          </w:p>
        </w:tc>
        <w:tc>
          <w:tcPr>
            <w:tcW w:w="5122" w:type="dxa"/>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在满足招标人服务要求及标准的前提下，比较各参选人提交的售后服务方案，内容应包括：服务水平承诺、服务级别、应急预案、技术支持力量等，并结合参选人对服务要求条款偏离情况进行打分。</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产品业绩</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0-10</w:t>
            </w:r>
          </w:p>
        </w:tc>
        <w:tc>
          <w:tcPr>
            <w:tcW w:w="5122"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提供医院销售合同或发票，合同或发票中要体现主体名称、数量和金额，提供一家加</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分，满分</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同家医院提供多份合同或发票只加1分</w:t>
            </w:r>
            <w:r>
              <w:rPr>
                <w:rFonts w:hint="eastAsia" w:ascii="宋体" w:hAnsi="宋体" w:eastAsia="宋体" w:cs="宋体"/>
                <w:color w:val="000000" w:themeColor="text1"/>
                <w:sz w:val="24"/>
                <w:szCs w:val="24"/>
                <w:highlight w:val="none"/>
                <w14:textFill>
                  <w14:solidFill>
                    <w14:schemeClr w14:val="tx1"/>
                  </w14:solidFill>
                </w14:textFill>
              </w:rPr>
              <w:t>。</w:t>
            </w:r>
          </w:p>
        </w:tc>
      </w:tr>
    </w:tbl>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六、相关要求</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、提供产品清单，包括产品信息和报价。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产品报价，须包含所提供产品的采购、运输、保险、税收、配送服务等一切费用，采购方不再承担额外费用。报价信息包括单人份报价（即试剂、试剂盒、校准品、质控品、辅助品等所有产品完成该检测所需成本）、试剂对应检测项目</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名称及收费价格信息、单人份价格/项目收费价格、扣率等。</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2、提供产品资证、相关说明书、存储要求、供应包装与标签等文件。</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所有产品（包括试剂、试剂盒、校准品、质控品、辅助品等）的文件资料必须真实有效，包括但不限于：营业执照、经营许可证、生产许可证、代理授权文件、医疗器械注册证、第一类医疗器械备案凭证、说明书等。</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（2）进口产品，须同时提供原版与中文的相关说明书。</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、接到院方通知后保证</w:t>
      </w:r>
      <w:r>
        <w:rPr>
          <w:rFonts w:hint="eastAsia" w:ascii="宋体" w:hAnsi="宋体" w:eastAsia="宋体" w:cs="宋体"/>
          <w:color w:val="000000" w:themeColor="text1"/>
          <w:sz w:val="24"/>
          <w:szCs w:val="24"/>
          <w:highlight w:val="none"/>
          <w:lang w:eastAsia="zh-CN"/>
          <w14:textFill>
            <w14:solidFill>
              <w14:schemeClr w14:val="tx1"/>
            </w14:solidFill>
          </w14:textFill>
        </w:rPr>
        <w:t>72小时</w:t>
      </w:r>
      <w:r>
        <w:rPr>
          <w:rFonts w:hint="eastAsia" w:ascii="宋体" w:hAnsi="宋体" w:eastAsia="宋体" w:cs="宋体"/>
          <w:color w:val="000000" w:themeColor="text1"/>
          <w:sz w:val="24"/>
          <w:szCs w:val="24"/>
          <w:highlight w:val="none"/>
          <w:lang w:val="en-US" w:eastAsia="zh-CN"/>
          <w14:textFill>
            <w14:solidFill>
              <w14:schemeClr w14:val="tx1"/>
            </w14:solidFill>
          </w14:textFill>
        </w:rPr>
        <w:t>内完成</w:t>
      </w:r>
      <w:r>
        <w:rPr>
          <w:rFonts w:hint="eastAsia" w:ascii="宋体" w:hAnsi="宋体" w:eastAsia="宋体" w:cs="宋体"/>
          <w:color w:val="000000" w:themeColor="text1"/>
          <w:sz w:val="24"/>
          <w:szCs w:val="24"/>
          <w:highlight w:val="none"/>
          <w14:textFill>
            <w14:solidFill>
              <w14:schemeClr w14:val="tx1"/>
            </w14:solidFill>
          </w14:textFill>
        </w:rPr>
        <w:t>配送，保障临床需求。</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、提供的产品需符合国家关于质量、运输、存储、安全的规定与要求，并通过实验室质量管理要求的相关性能验证。</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、提供完善的培训、指导等技术支持，保障临床应用。</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、提供完善的应急预案，以保证出现突发或意外情况时，不影响院方的正常工作。应急预案应包括：产品的应急、物流的应急等。</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、保障产品质量并及时供应，并接受院方因为临床需求变更、产品升级及其它质量、价格等变化而提出的服务期结束要求。</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、院方在实际使用过程中，若发现无效产品，或出现产品与医疗器械注册证等相关证明文件的信息不相符的情况，供应商须无偿补足损耗并承担相应责任。</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、院方在实际使用过程中，若发现有不合格产品，供应商须对所有剩余产品进行无条件更换。</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、供应商所供货物自用户验收之日起计算，剩余有效期要求≥</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个月；对有效期≤</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个月的货物，供应商须在产品有效期内提供无条件更换服务。</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、积极配合院方完成相关质控工作。</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、产品在上海市临检中心室间质控检测中出现不合格的，院方有权废除其中选资格，结束其服务，且由此产生的费用由供应商承担。</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、若因产品质量问题或技术支持不够完善，引起的患者伤害及一切不良后果，供应商将承担由此引发的全部法律责任及经济赔偿。</w:t>
      </w:r>
    </w:p>
    <w:p>
      <w:pPr>
        <w:keepNext w:val="0"/>
        <w:keepLines w:val="0"/>
        <w:pageBreakBefore w:val="0"/>
        <w:widowControl/>
        <w:kinsoku/>
        <w:wordWrap w:val="0"/>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 我院由体外诊断试剂IVD集中供应服务商进行试剂和耗材的集中管理，积极配合院方完成相关工作。</w:t>
      </w:r>
    </w:p>
    <w:p>
      <w:pPr>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七、遴选响应文件</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遴选响应文件应包括但不限于</w:t>
      </w:r>
      <w:r>
        <w:rPr>
          <w:rFonts w:hint="eastAsia" w:ascii="宋体" w:hAnsi="宋体" w:eastAsia="宋体" w:cs="宋体"/>
          <w:color w:val="000000" w:themeColor="text1"/>
          <w:sz w:val="24"/>
          <w:szCs w:val="24"/>
          <w:highlight w:val="none"/>
          <w:lang w:val="en-US" w:eastAsia="zh-CN"/>
          <w14:textFill>
            <w14:solidFill>
              <w14:schemeClr w14:val="tx1"/>
            </w14:solidFill>
          </w14:textFill>
        </w:rPr>
        <w:t>试剂</w:t>
      </w:r>
      <w:r>
        <w:rPr>
          <w:rFonts w:hint="eastAsia" w:ascii="宋体" w:hAnsi="宋体" w:eastAsia="宋体" w:cs="宋体"/>
          <w:color w:val="000000" w:themeColor="text1"/>
          <w:sz w:val="24"/>
          <w:szCs w:val="24"/>
          <w:highlight w:val="none"/>
          <w14:textFill>
            <w14:solidFill>
              <w14:schemeClr w14:val="tx1"/>
            </w14:solidFill>
          </w14:textFill>
        </w:rPr>
        <w:t>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单</w:t>
      </w:r>
      <w:r>
        <w:rPr>
          <w:rFonts w:hint="eastAsia" w:ascii="宋体" w:hAnsi="宋体" w:eastAsia="宋体" w:cs="宋体"/>
          <w:color w:val="000000" w:themeColor="text1"/>
          <w:sz w:val="24"/>
          <w:szCs w:val="24"/>
          <w:highlight w:val="none"/>
          <w14:textFill>
            <w14:solidFill>
              <w14:schemeClr w14:val="tx1"/>
            </w14:solidFill>
          </w14:textFill>
        </w:rPr>
        <w:t>、资格证明文件、技术参数偏离表、用户名单及无重大违法记录等资料。</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1、试剂报价单</w:t>
      </w:r>
      <w:r>
        <w:rPr>
          <w:rFonts w:hint="eastAsia" w:ascii="宋体" w:hAnsi="宋体" w:eastAsia="宋体" w:cs="宋体"/>
          <w:color w:val="000000" w:themeColor="text1"/>
          <w:sz w:val="24"/>
          <w:szCs w:val="24"/>
          <w:highlight w:val="none"/>
          <w14:textFill>
            <w14:solidFill>
              <w14:schemeClr w14:val="tx1"/>
            </w14:solidFill>
          </w14:textFill>
        </w:rPr>
        <w:t>（人民币报价）。（详见附件1）</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资格证明文件要求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（详见附件2）</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技术参数偏离表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（详见附件3）</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用户名单：用户名单，并提供联系人及联系方式。（详见附件4）</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法人代表授权书。（详见附件5）</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供应商需提供在“信用中国”网站（www.creditchina.gov.cn）上的查询结果截图</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（详见附件6）</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无重大违法记录承诺书。（详见附件7）</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无行贿犯罪记录声明函。（详见附件8）</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关于资格的声明函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（详见附件9）</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销售承诺及服务质量保证书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（详见附件10）</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11、医用耗材</w:t>
      </w:r>
      <w:r>
        <w:rPr>
          <w:rFonts w:hint="eastAsia" w:ascii="宋体" w:hAnsi="宋体" w:eastAsia="宋体" w:cs="宋体"/>
          <w:color w:val="000000" w:themeColor="text1"/>
          <w:sz w:val="24"/>
          <w:szCs w:val="24"/>
          <w:highlight w:val="none"/>
          <w14:textFill>
            <w14:solidFill>
              <w14:schemeClr w14:val="tx1"/>
            </w14:solidFill>
          </w14:textFill>
        </w:rPr>
        <w:t>购置承诺书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（详见附件11）</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12、廉洁</w:t>
      </w:r>
      <w:r>
        <w:rPr>
          <w:rFonts w:hint="eastAsia" w:ascii="宋体" w:hAnsi="宋体" w:eastAsia="宋体" w:cs="宋体"/>
          <w:color w:val="000000" w:themeColor="text1"/>
          <w:sz w:val="24"/>
          <w:szCs w:val="24"/>
          <w:highlight w:val="none"/>
          <w14:textFill>
            <w14:solidFill>
              <w14:schemeClr w14:val="tx1"/>
            </w14:solidFill>
          </w14:textFill>
        </w:rPr>
        <w:t>协议书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（详见附件12）</w:t>
      </w: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kern w:val="0"/>
          <w:sz w:val="24"/>
          <w:szCs w:val="24"/>
        </w:rPr>
      </w:pPr>
    </w:p>
    <w:p>
      <w:pPr>
        <w:pStyle w:val="12"/>
        <w:rPr>
          <w:rFonts w:hint="eastAsia" w:ascii="宋体" w:hAnsi="宋体" w:eastAsia="宋体" w:cs="宋体"/>
          <w:sz w:val="32"/>
          <w:szCs w:val="32"/>
        </w:rPr>
      </w:pPr>
    </w:p>
    <w:p>
      <w:pPr>
        <w:pStyle w:val="34"/>
        <w:rPr>
          <w:rFonts w:hint="eastAsia" w:ascii="宋体" w:hAnsi="宋体" w:eastAsia="宋体" w:cs="宋体"/>
        </w:rPr>
      </w:pPr>
    </w:p>
    <w:p>
      <w:pPr>
        <w:keepNext w:val="0"/>
        <w:keepLines w:val="0"/>
        <w:pageBreakBefore w:val="0"/>
        <w:widowControl/>
        <w:numPr>
          <w:ilvl w:val="0"/>
          <w:numId w:val="0"/>
        </w:numPr>
        <w:kinsoku/>
        <w:wordWrap w:val="0"/>
        <w:overflowPunct/>
        <w:topLinePunct w:val="0"/>
        <w:autoSpaceDE/>
        <w:autoSpaceDN/>
        <w:bidi w:val="0"/>
        <w:adjustRightInd/>
        <w:snapToGrid/>
        <w:spacing w:line="420" w:lineRule="exact"/>
        <w:textAlignment w:val="auto"/>
        <w:rPr>
          <w:rFonts w:hint="eastAsia"/>
          <w:color w:val="FF0000"/>
          <w:sz w:val="24"/>
          <w:szCs w:val="24"/>
          <w:lang w:val="en-US" w:eastAsia="zh-CN"/>
        </w:rPr>
      </w:pPr>
    </w:p>
    <w:p>
      <w:pPr>
        <w:pStyle w:val="12"/>
        <w:rPr>
          <w:rFonts w:hint="eastAsia"/>
          <w:color w:val="FF0000"/>
          <w:sz w:val="24"/>
          <w:szCs w:val="24"/>
          <w:lang w:val="en-US" w:eastAsia="zh-CN"/>
        </w:rPr>
      </w:pPr>
    </w:p>
    <w:p>
      <w:pPr>
        <w:pStyle w:val="34"/>
        <w:jc w:val="left"/>
        <w:rPr>
          <w:rFonts w:hint="default"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ascii="宋体" w:hAnsi="宋体"/>
                <w:sz w:val="22"/>
              </w:rPr>
            </w:pPr>
            <w:r>
              <w:rPr>
                <w:rFonts w:hint="eastAsia" w:ascii="宋体" w:hAnsi="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r>
              <w:rPr>
                <w:rFonts w:hint="eastAsia" w:ascii="宋体" w:hAnsi="宋体"/>
                <w:color w:val="000000"/>
                <w:sz w:val="22"/>
                <w:lang w:val="en-US" w:eastAsia="zh-CN"/>
              </w:rPr>
              <w:t>成本</w:t>
            </w:r>
            <w:r>
              <w:rPr>
                <w:rFonts w:hint="eastAsia" w:ascii="宋体" w:hAnsi="宋体"/>
                <w:color w:val="000000"/>
                <w:sz w:val="22"/>
              </w:rPr>
              <w:t>率（</w:t>
            </w:r>
            <w:r>
              <w:rPr>
                <w:rFonts w:hint="eastAsia" w:ascii="宋体" w:hAnsi="宋体"/>
                <w:color w:val="000000"/>
                <w:sz w:val="22"/>
                <w:lang w:val="en-US" w:eastAsia="zh-CN"/>
              </w:rPr>
              <w:t>成本</w:t>
            </w:r>
            <w:r>
              <w:rPr>
                <w:rFonts w:hint="eastAsia" w:ascii="宋体" w:hAnsi="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ascii="宋体" w:hAnsi="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bl>
    <w:p>
      <w:pPr>
        <w:pStyle w:val="12"/>
        <w:rPr>
          <w:rFonts w:hint="eastAsia" w:ascii="宋体" w:hAnsi="宋体" w:eastAsia="宋体" w:cs="宋体"/>
          <w:b/>
          <w:bCs/>
          <w:kern w:val="0"/>
          <w:sz w:val="28"/>
          <w:szCs w:val="28"/>
        </w:rPr>
      </w:pPr>
    </w:p>
    <w:p>
      <w:pPr>
        <w:pStyle w:val="1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12"/>
        <w:rPr>
          <w:rFonts w:hint="eastAsia" w:ascii="宋体" w:hAnsi="宋体" w:eastAsia="宋体" w:cs="宋体"/>
          <w:b/>
          <w:sz w:val="32"/>
          <w:szCs w:val="20"/>
        </w:rPr>
      </w:pPr>
    </w:p>
    <w:p>
      <w:pPr>
        <w:pStyle w:val="12"/>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174"/>
        <w:gridCol w:w="2551"/>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174"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遴选文件条目号</w:t>
            </w:r>
          </w:p>
        </w:tc>
        <w:tc>
          <w:tcPr>
            <w:tcW w:w="2551"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遴选文件要求</w:t>
            </w:r>
          </w:p>
        </w:tc>
        <w:tc>
          <w:tcPr>
            <w:tcW w:w="2127"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rPr>
              <w:t>遴选文件响应</w:t>
            </w:r>
          </w:p>
        </w:tc>
        <w:tc>
          <w:tcPr>
            <w:tcW w:w="141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ind w:left="0" w:leftChars="0" w:firstLine="0" w:firstLineChars="0"/>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lang w:eastAsia="zh-CN"/>
        </w:rPr>
      </w:pPr>
    </w:p>
    <w:p>
      <w:pPr>
        <w:pStyle w:val="12"/>
        <w:rPr>
          <w:rFonts w:hint="eastAsia" w:ascii="宋体" w:hAnsi="宋体" w:eastAsia="宋体" w:cs="宋体"/>
          <w:sz w:val="24"/>
          <w:lang w:eastAsia="zh-CN"/>
        </w:rPr>
      </w:pPr>
    </w:p>
    <w:p>
      <w:pPr>
        <w:pStyle w:val="12"/>
        <w:rPr>
          <w:rFonts w:hint="eastAsia" w:ascii="宋体" w:hAnsi="宋体" w:eastAsia="宋体" w:cs="宋体"/>
          <w:sz w:val="24"/>
          <w:lang w:eastAsia="zh-CN"/>
        </w:rPr>
      </w:pPr>
    </w:p>
    <w:p>
      <w:pPr>
        <w:pStyle w:val="12"/>
        <w:rPr>
          <w:rFonts w:hint="eastAsia" w:ascii="宋体" w:hAnsi="宋体" w:eastAsia="宋体" w:cs="宋体"/>
          <w:sz w:val="24"/>
        </w:rPr>
      </w:pPr>
    </w:p>
    <w:p>
      <w:pPr>
        <w:pStyle w:val="1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2"/>
        <w:rPr>
          <w:rFonts w:hint="eastAsia"/>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项目的遴选。在此郑重声明：经查询中国裁判文书网，我公司自开展经营活动以来，未有过行贿犯罪记录。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1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bookmarkStart w:id="3" w:name="_GoBack"/>
      <w:bookmarkEnd w:id="3"/>
    </w:p>
    <w:p>
      <w:pPr>
        <w:pStyle w:val="1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2"/>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2"/>
        <w:jc w:val="right"/>
        <w:rPr>
          <w:rFonts w:hint="eastAsia" w:ascii="宋体" w:hAnsi="宋体" w:eastAsia="宋体" w:cs="宋体"/>
          <w:strike/>
          <w:dstrike w:val="0"/>
          <w:sz w:val="21"/>
          <w:szCs w:val="18"/>
          <w:u w:val="none"/>
        </w:rPr>
      </w:pP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2"/>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2"/>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2"/>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2"/>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2"/>
        <w:numPr>
          <w:ilvl w:val="0"/>
          <w:numId w:val="5"/>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2"/>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2"/>
        <w:numPr>
          <w:ilvl w:val="0"/>
          <w:numId w:val="5"/>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2"/>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2"/>
        <w:keepNext w:val="0"/>
        <w:keepLines w:val="0"/>
        <w:pageBreakBefore w:val="0"/>
        <w:widowControl w:val="0"/>
        <w:numPr>
          <w:ilvl w:val="0"/>
          <w:numId w:val="5"/>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2"/>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2"/>
        <w:rPr>
          <w:rFonts w:hint="eastAsia" w:ascii="宋体" w:hAnsi="宋体" w:eastAsia="宋体" w:cs="宋体"/>
          <w:sz w:val="24"/>
        </w:rPr>
      </w:pPr>
    </w:p>
    <w:p>
      <w:pPr>
        <w:pStyle w:val="2"/>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ascii="宋体" w:hAnsi="宋体" w:eastAsia="宋体" w:cs="宋体"/>
          <w:bCs/>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4E91D29F"/>
    <w:multiLevelType w:val="singleLevel"/>
    <w:tmpl w:val="4E91D29F"/>
    <w:lvl w:ilvl="0" w:tentative="0">
      <w:start w:val="1"/>
      <w:numFmt w:val="chineseCounting"/>
      <w:suff w:val="nothing"/>
      <w:lvlText w:val="%1、"/>
      <w:lvlJc w:val="left"/>
      <w:rPr>
        <w:rFonts w:hint="eastAsia"/>
      </w:rPr>
    </w:lvl>
  </w:abstractNum>
  <w:abstractNum w:abstractNumId="4">
    <w:nsid w:val="79E1DEBA"/>
    <w:multiLevelType w:val="singleLevel"/>
    <w:tmpl w:val="79E1DEBA"/>
    <w:lvl w:ilvl="0" w:tentative="0">
      <w:start w:val="2"/>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B354EA"/>
    <w:rsid w:val="01D35164"/>
    <w:rsid w:val="023820D4"/>
    <w:rsid w:val="029B70E4"/>
    <w:rsid w:val="02CD01E8"/>
    <w:rsid w:val="0320091C"/>
    <w:rsid w:val="03B66504"/>
    <w:rsid w:val="03BB1D6C"/>
    <w:rsid w:val="04E94BD0"/>
    <w:rsid w:val="05216C28"/>
    <w:rsid w:val="052E38E1"/>
    <w:rsid w:val="06456F2F"/>
    <w:rsid w:val="068078D5"/>
    <w:rsid w:val="068B266B"/>
    <w:rsid w:val="06AE7D15"/>
    <w:rsid w:val="06D83508"/>
    <w:rsid w:val="06E077D2"/>
    <w:rsid w:val="06ED51F8"/>
    <w:rsid w:val="0716207E"/>
    <w:rsid w:val="075F4276"/>
    <w:rsid w:val="078C79FB"/>
    <w:rsid w:val="079E0DE6"/>
    <w:rsid w:val="07C30482"/>
    <w:rsid w:val="085330F2"/>
    <w:rsid w:val="08BC690A"/>
    <w:rsid w:val="093D185A"/>
    <w:rsid w:val="099B1637"/>
    <w:rsid w:val="09B8083D"/>
    <w:rsid w:val="0B3D54C6"/>
    <w:rsid w:val="0BD151AB"/>
    <w:rsid w:val="0D5170BE"/>
    <w:rsid w:val="0D585E47"/>
    <w:rsid w:val="0E532263"/>
    <w:rsid w:val="0F3D21CF"/>
    <w:rsid w:val="0F703B3A"/>
    <w:rsid w:val="0FAF41DB"/>
    <w:rsid w:val="0FB9281A"/>
    <w:rsid w:val="1041184B"/>
    <w:rsid w:val="108E2F51"/>
    <w:rsid w:val="10AF4D9F"/>
    <w:rsid w:val="10C91DD2"/>
    <w:rsid w:val="10FA49AA"/>
    <w:rsid w:val="11114207"/>
    <w:rsid w:val="11711B25"/>
    <w:rsid w:val="11BD75F7"/>
    <w:rsid w:val="120C459D"/>
    <w:rsid w:val="1279351E"/>
    <w:rsid w:val="129206FB"/>
    <w:rsid w:val="130D3C66"/>
    <w:rsid w:val="1335254F"/>
    <w:rsid w:val="148D505F"/>
    <w:rsid w:val="14B434A6"/>
    <w:rsid w:val="14C42173"/>
    <w:rsid w:val="166D01D8"/>
    <w:rsid w:val="16C3087E"/>
    <w:rsid w:val="16C30F0C"/>
    <w:rsid w:val="17365260"/>
    <w:rsid w:val="175F4F16"/>
    <w:rsid w:val="17626C76"/>
    <w:rsid w:val="177A1C19"/>
    <w:rsid w:val="177F6146"/>
    <w:rsid w:val="1790318F"/>
    <w:rsid w:val="179D1A5D"/>
    <w:rsid w:val="17C57205"/>
    <w:rsid w:val="17C70888"/>
    <w:rsid w:val="18717308"/>
    <w:rsid w:val="18B34AB1"/>
    <w:rsid w:val="1926004F"/>
    <w:rsid w:val="19B234B0"/>
    <w:rsid w:val="19BA433D"/>
    <w:rsid w:val="19C9617A"/>
    <w:rsid w:val="1A2D618B"/>
    <w:rsid w:val="1A5C4D89"/>
    <w:rsid w:val="1A5D3BB3"/>
    <w:rsid w:val="1A8E11FB"/>
    <w:rsid w:val="1AAD44D4"/>
    <w:rsid w:val="1B8D049E"/>
    <w:rsid w:val="1B970EB9"/>
    <w:rsid w:val="1BD210C1"/>
    <w:rsid w:val="1BE71836"/>
    <w:rsid w:val="1C085564"/>
    <w:rsid w:val="1C365FDC"/>
    <w:rsid w:val="1CB735C0"/>
    <w:rsid w:val="1CE23E5A"/>
    <w:rsid w:val="1D45611D"/>
    <w:rsid w:val="1D4B1F5B"/>
    <w:rsid w:val="1DA46C3C"/>
    <w:rsid w:val="1DBF4DF8"/>
    <w:rsid w:val="1E14234D"/>
    <w:rsid w:val="1E1C1F51"/>
    <w:rsid w:val="1F2F42FD"/>
    <w:rsid w:val="1FE07BE7"/>
    <w:rsid w:val="202E30FB"/>
    <w:rsid w:val="203B617F"/>
    <w:rsid w:val="20447CA5"/>
    <w:rsid w:val="20592EC7"/>
    <w:rsid w:val="20BD5BD5"/>
    <w:rsid w:val="214C5AEE"/>
    <w:rsid w:val="21D93070"/>
    <w:rsid w:val="231150AD"/>
    <w:rsid w:val="235D481E"/>
    <w:rsid w:val="23692964"/>
    <w:rsid w:val="237A6EBD"/>
    <w:rsid w:val="237F418C"/>
    <w:rsid w:val="23B63AF4"/>
    <w:rsid w:val="23E834D5"/>
    <w:rsid w:val="24BD373E"/>
    <w:rsid w:val="257858B7"/>
    <w:rsid w:val="25904C6B"/>
    <w:rsid w:val="25C02FB0"/>
    <w:rsid w:val="25D074A1"/>
    <w:rsid w:val="26323CB8"/>
    <w:rsid w:val="26326CC6"/>
    <w:rsid w:val="28367292"/>
    <w:rsid w:val="285C6DCA"/>
    <w:rsid w:val="28EC2844"/>
    <w:rsid w:val="294E6773"/>
    <w:rsid w:val="29DD71B3"/>
    <w:rsid w:val="2A041623"/>
    <w:rsid w:val="2A0A052A"/>
    <w:rsid w:val="2AE61515"/>
    <w:rsid w:val="2B08526E"/>
    <w:rsid w:val="2B106106"/>
    <w:rsid w:val="2B856638"/>
    <w:rsid w:val="2C0606D5"/>
    <w:rsid w:val="2C3D5164"/>
    <w:rsid w:val="2C862048"/>
    <w:rsid w:val="2D480748"/>
    <w:rsid w:val="2DC33D1F"/>
    <w:rsid w:val="2E4E2C28"/>
    <w:rsid w:val="2E6220A5"/>
    <w:rsid w:val="2E9103E5"/>
    <w:rsid w:val="2EA37B88"/>
    <w:rsid w:val="2EC155DB"/>
    <w:rsid w:val="2F323D93"/>
    <w:rsid w:val="2F5A4355"/>
    <w:rsid w:val="2F6B3D97"/>
    <w:rsid w:val="2F8A6A30"/>
    <w:rsid w:val="30806547"/>
    <w:rsid w:val="308C0468"/>
    <w:rsid w:val="30E94F09"/>
    <w:rsid w:val="30FF1B96"/>
    <w:rsid w:val="31217972"/>
    <w:rsid w:val="313E79B5"/>
    <w:rsid w:val="31415E8B"/>
    <w:rsid w:val="321E0DC5"/>
    <w:rsid w:val="323675CF"/>
    <w:rsid w:val="323A48DC"/>
    <w:rsid w:val="32E1056F"/>
    <w:rsid w:val="3301085B"/>
    <w:rsid w:val="33DE7E06"/>
    <w:rsid w:val="33F80AC7"/>
    <w:rsid w:val="34083549"/>
    <w:rsid w:val="34BB30CA"/>
    <w:rsid w:val="34E42337"/>
    <w:rsid w:val="34EF0B8D"/>
    <w:rsid w:val="35D5013C"/>
    <w:rsid w:val="35E72D81"/>
    <w:rsid w:val="35EB3F55"/>
    <w:rsid w:val="36ED1E34"/>
    <w:rsid w:val="375E30CC"/>
    <w:rsid w:val="389B749B"/>
    <w:rsid w:val="38E20F2A"/>
    <w:rsid w:val="39CE1AF2"/>
    <w:rsid w:val="39D71739"/>
    <w:rsid w:val="39EC238C"/>
    <w:rsid w:val="3A110C5D"/>
    <w:rsid w:val="3A3662F3"/>
    <w:rsid w:val="3A4F6109"/>
    <w:rsid w:val="3A9F3E75"/>
    <w:rsid w:val="3AC3027E"/>
    <w:rsid w:val="3AF13B97"/>
    <w:rsid w:val="3B016FC6"/>
    <w:rsid w:val="3B111A40"/>
    <w:rsid w:val="3B2C087E"/>
    <w:rsid w:val="3B595FFE"/>
    <w:rsid w:val="3BCC21F1"/>
    <w:rsid w:val="3BD5458B"/>
    <w:rsid w:val="3C28373B"/>
    <w:rsid w:val="3C8F5568"/>
    <w:rsid w:val="3CBB5598"/>
    <w:rsid w:val="3CE0537E"/>
    <w:rsid w:val="3D3C57FF"/>
    <w:rsid w:val="3D7831DE"/>
    <w:rsid w:val="3DA71EFB"/>
    <w:rsid w:val="3DE025C2"/>
    <w:rsid w:val="3E4B04D0"/>
    <w:rsid w:val="3EEE4FED"/>
    <w:rsid w:val="3F1F7AF9"/>
    <w:rsid w:val="3F961A5B"/>
    <w:rsid w:val="3FC320AE"/>
    <w:rsid w:val="3FE35A0C"/>
    <w:rsid w:val="40214546"/>
    <w:rsid w:val="40BD62C9"/>
    <w:rsid w:val="40DC581F"/>
    <w:rsid w:val="411F46A5"/>
    <w:rsid w:val="412E37D8"/>
    <w:rsid w:val="413B181B"/>
    <w:rsid w:val="41E51367"/>
    <w:rsid w:val="42794CFD"/>
    <w:rsid w:val="42EA1B55"/>
    <w:rsid w:val="43572B58"/>
    <w:rsid w:val="43BF292A"/>
    <w:rsid w:val="44CF3F6B"/>
    <w:rsid w:val="4551058A"/>
    <w:rsid w:val="45DE130F"/>
    <w:rsid w:val="469F40CF"/>
    <w:rsid w:val="46C3232C"/>
    <w:rsid w:val="46DB30D4"/>
    <w:rsid w:val="46E77B6B"/>
    <w:rsid w:val="470E3A56"/>
    <w:rsid w:val="470F02C7"/>
    <w:rsid w:val="4747106E"/>
    <w:rsid w:val="47C63E08"/>
    <w:rsid w:val="47F92430"/>
    <w:rsid w:val="481366AF"/>
    <w:rsid w:val="483A1969"/>
    <w:rsid w:val="489D3BB8"/>
    <w:rsid w:val="48B620CF"/>
    <w:rsid w:val="48D461F6"/>
    <w:rsid w:val="4A572DBE"/>
    <w:rsid w:val="4ABA6F52"/>
    <w:rsid w:val="4B137364"/>
    <w:rsid w:val="4B500246"/>
    <w:rsid w:val="4B692C1A"/>
    <w:rsid w:val="4B830252"/>
    <w:rsid w:val="4BC24A77"/>
    <w:rsid w:val="4BC37A29"/>
    <w:rsid w:val="4BDD711F"/>
    <w:rsid w:val="4C1930A0"/>
    <w:rsid w:val="4C1B3BB0"/>
    <w:rsid w:val="4C5C48CE"/>
    <w:rsid w:val="4CB25936"/>
    <w:rsid w:val="4CBC7DCF"/>
    <w:rsid w:val="4CCA2576"/>
    <w:rsid w:val="4D021D86"/>
    <w:rsid w:val="4DFA7795"/>
    <w:rsid w:val="4E7B594C"/>
    <w:rsid w:val="4E972115"/>
    <w:rsid w:val="4EC053BC"/>
    <w:rsid w:val="4F1721D6"/>
    <w:rsid w:val="4F350E27"/>
    <w:rsid w:val="4F8E345D"/>
    <w:rsid w:val="4F9626E0"/>
    <w:rsid w:val="4FFF096E"/>
    <w:rsid w:val="50155B4A"/>
    <w:rsid w:val="50BF3F80"/>
    <w:rsid w:val="50D606E2"/>
    <w:rsid w:val="51C55131"/>
    <w:rsid w:val="51D65A91"/>
    <w:rsid w:val="51F7793F"/>
    <w:rsid w:val="535D5854"/>
    <w:rsid w:val="538954B6"/>
    <w:rsid w:val="538A27BB"/>
    <w:rsid w:val="53FD3ABD"/>
    <w:rsid w:val="541C5466"/>
    <w:rsid w:val="5455279C"/>
    <w:rsid w:val="5498544D"/>
    <w:rsid w:val="54BD7E54"/>
    <w:rsid w:val="54E0475B"/>
    <w:rsid w:val="554E62C0"/>
    <w:rsid w:val="555D589F"/>
    <w:rsid w:val="55783641"/>
    <w:rsid w:val="559322C5"/>
    <w:rsid w:val="55B2147B"/>
    <w:rsid w:val="55EB7211"/>
    <w:rsid w:val="571B542D"/>
    <w:rsid w:val="573E1C0D"/>
    <w:rsid w:val="576E7689"/>
    <w:rsid w:val="577E5A91"/>
    <w:rsid w:val="57EC5D04"/>
    <w:rsid w:val="58095D77"/>
    <w:rsid w:val="593D44A4"/>
    <w:rsid w:val="5A221372"/>
    <w:rsid w:val="5A4F7C8D"/>
    <w:rsid w:val="5A5359CF"/>
    <w:rsid w:val="5AFA409D"/>
    <w:rsid w:val="5BB4249E"/>
    <w:rsid w:val="5BC70423"/>
    <w:rsid w:val="5BDE5A32"/>
    <w:rsid w:val="5C3D1857"/>
    <w:rsid w:val="5CB5471F"/>
    <w:rsid w:val="5D126255"/>
    <w:rsid w:val="5D1860C7"/>
    <w:rsid w:val="5D3F5AEE"/>
    <w:rsid w:val="5DE078E6"/>
    <w:rsid w:val="5DF9063C"/>
    <w:rsid w:val="5E5E7C3D"/>
    <w:rsid w:val="5F150EF2"/>
    <w:rsid w:val="5F304909"/>
    <w:rsid w:val="5FC92290"/>
    <w:rsid w:val="5FE60504"/>
    <w:rsid w:val="603C1320"/>
    <w:rsid w:val="605B3830"/>
    <w:rsid w:val="61191A11"/>
    <w:rsid w:val="627D3ED3"/>
    <w:rsid w:val="62C06562"/>
    <w:rsid w:val="633A46C6"/>
    <w:rsid w:val="635F7193"/>
    <w:rsid w:val="636B6B43"/>
    <w:rsid w:val="64722EF6"/>
    <w:rsid w:val="64CA2D32"/>
    <w:rsid w:val="64D67929"/>
    <w:rsid w:val="64FE099A"/>
    <w:rsid w:val="65314B5F"/>
    <w:rsid w:val="65752D20"/>
    <w:rsid w:val="657A17B8"/>
    <w:rsid w:val="658E5B0E"/>
    <w:rsid w:val="65A622E7"/>
    <w:rsid w:val="668E26A7"/>
    <w:rsid w:val="66B123AE"/>
    <w:rsid w:val="674A4B46"/>
    <w:rsid w:val="67643E82"/>
    <w:rsid w:val="67CF1147"/>
    <w:rsid w:val="6800057A"/>
    <w:rsid w:val="683F7341"/>
    <w:rsid w:val="69A27DD9"/>
    <w:rsid w:val="69BC28BE"/>
    <w:rsid w:val="69F8754C"/>
    <w:rsid w:val="6A2E076D"/>
    <w:rsid w:val="6A445335"/>
    <w:rsid w:val="6A794FDE"/>
    <w:rsid w:val="6CBE13CE"/>
    <w:rsid w:val="6CE12C2A"/>
    <w:rsid w:val="6D244DFC"/>
    <w:rsid w:val="6D3072C0"/>
    <w:rsid w:val="6E2E37C4"/>
    <w:rsid w:val="6E487369"/>
    <w:rsid w:val="6E7F33F8"/>
    <w:rsid w:val="6F252763"/>
    <w:rsid w:val="6F2B4343"/>
    <w:rsid w:val="6FBC771B"/>
    <w:rsid w:val="70214F89"/>
    <w:rsid w:val="70567702"/>
    <w:rsid w:val="705A4DB9"/>
    <w:rsid w:val="70A60775"/>
    <w:rsid w:val="70B31796"/>
    <w:rsid w:val="70F84783"/>
    <w:rsid w:val="714323EA"/>
    <w:rsid w:val="71837E3C"/>
    <w:rsid w:val="72BB25BB"/>
    <w:rsid w:val="7349268D"/>
    <w:rsid w:val="73904617"/>
    <w:rsid w:val="73966EBB"/>
    <w:rsid w:val="745A720C"/>
    <w:rsid w:val="748D1686"/>
    <w:rsid w:val="75671ED7"/>
    <w:rsid w:val="75F4167C"/>
    <w:rsid w:val="761F06CA"/>
    <w:rsid w:val="763554A4"/>
    <w:rsid w:val="76871433"/>
    <w:rsid w:val="76E83BEF"/>
    <w:rsid w:val="7836450F"/>
    <w:rsid w:val="784333A1"/>
    <w:rsid w:val="787119EB"/>
    <w:rsid w:val="78986B42"/>
    <w:rsid w:val="79B31B8F"/>
    <w:rsid w:val="79BF34C3"/>
    <w:rsid w:val="7A044863"/>
    <w:rsid w:val="7ABA3491"/>
    <w:rsid w:val="7AF36E33"/>
    <w:rsid w:val="7B857D92"/>
    <w:rsid w:val="7BB948D7"/>
    <w:rsid w:val="7BBE620D"/>
    <w:rsid w:val="7BD50615"/>
    <w:rsid w:val="7BEB1AB4"/>
    <w:rsid w:val="7D241CF8"/>
    <w:rsid w:val="7D6A7C65"/>
    <w:rsid w:val="7D753796"/>
    <w:rsid w:val="7E175980"/>
    <w:rsid w:val="7E7B4E43"/>
    <w:rsid w:val="7ECF7E29"/>
    <w:rsid w:val="7EE822DB"/>
    <w:rsid w:val="7EEC02C7"/>
    <w:rsid w:val="7F282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Cs w:val="21"/>
    </w:rPr>
  </w:style>
  <w:style w:type="paragraph" w:styleId="4">
    <w:name w:val="annotation text"/>
    <w:basedOn w:val="1"/>
    <w:link w:val="27"/>
    <w:semiHidden/>
    <w:qFormat/>
    <w:uiPriority w:val="0"/>
    <w:pPr>
      <w:jc w:val="left"/>
    </w:pPr>
    <w:rPr>
      <w:rFonts w:ascii="Times New Roman" w:hAnsi="Times New Roman" w:eastAsia="宋体" w:cs="Times New Roman"/>
      <w:szCs w:val="24"/>
    </w:rPr>
  </w:style>
  <w:style w:type="paragraph" w:styleId="5">
    <w:name w:val="Body Text Indent"/>
    <w:basedOn w:val="1"/>
    <w:qFormat/>
    <w:uiPriority w:val="0"/>
    <w:pPr>
      <w:spacing w:line="360" w:lineRule="auto"/>
      <w:ind w:left="420" w:firstLine="420"/>
    </w:pPr>
    <w:rPr>
      <w:rFonts w:ascii="宋体" w:hAnsi="宋体"/>
      <w:sz w:val="24"/>
      <w:shd w:val="pct10" w:color="auto" w:fill="FFFFFF"/>
    </w:rPr>
  </w:style>
  <w:style w:type="paragraph" w:styleId="6">
    <w:name w:val="Balloon Text"/>
    <w:basedOn w:val="1"/>
    <w:link w:val="28"/>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hint="eastAsia" w:ascii="楷体_GB2312" w:eastAsia="楷体_GB2312"/>
      <w:b/>
      <w:sz w:val="72"/>
      <w:szCs w:val="20"/>
    </w:rPr>
  </w:style>
  <w:style w:type="paragraph" w:styleId="10">
    <w:name w:val="Normal (Web)"/>
    <w:basedOn w:val="1"/>
    <w:next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2">
    <w:name w:val="Body Text First Indent"/>
    <w:basedOn w:val="2"/>
    <w:unhideWhenUsed/>
    <w:qFormat/>
    <w:uiPriority w:val="99"/>
    <w:pPr>
      <w:ind w:firstLine="420" w:firstLineChars="100"/>
    </w:pPr>
  </w:style>
  <w:style w:type="paragraph" w:styleId="13">
    <w:name w:val="Body Text First Indent 2"/>
    <w:basedOn w:val="5"/>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8"/>
    <w:qFormat/>
    <w:uiPriority w:val="99"/>
    <w:rPr>
      <w:sz w:val="18"/>
      <w:szCs w:val="18"/>
    </w:rPr>
  </w:style>
  <w:style w:type="character" w:customStyle="1" w:styleId="23">
    <w:name w:val="页脚 字符"/>
    <w:basedOn w:val="16"/>
    <w:link w:val="7"/>
    <w:qFormat/>
    <w:uiPriority w:val="99"/>
    <w:rPr>
      <w:sz w:val="18"/>
      <w:szCs w:val="18"/>
    </w:rPr>
  </w:style>
  <w:style w:type="character" w:customStyle="1" w:styleId="24">
    <w:name w:val="标题 1 字符"/>
    <w:basedOn w:val="16"/>
    <w:link w:val="3"/>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4"/>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6"/>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6131</Words>
  <Characters>6677</Characters>
  <Lines>29</Lines>
  <Paragraphs>8</Paragraphs>
  <TotalTime>1</TotalTime>
  <ScaleCrop>false</ScaleCrop>
  <LinksUpToDate>false</LinksUpToDate>
  <CharactersWithSpaces>7241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dcterms:modified xsi:type="dcterms:W3CDTF">2023-05-29T06:56:05Z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5A7582F762F543B980A55E2793244CCE</vt:lpwstr>
  </property>
</Properties>
</file>