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华文仿宋" w:hAnsi="华文仿宋" w:eastAsia="华文仿宋" w:cs="华文仿宋"/>
          <w:sz w:val="60"/>
          <w:szCs w:val="60"/>
        </w:rPr>
      </w:pPr>
    </w:p>
    <w:p>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spacing w:line="360" w:lineRule="auto"/>
        <w:jc w:val="center"/>
        <w:rPr>
          <w:rFonts w:ascii="华文仿宋" w:hAnsi="华文仿宋" w:eastAsia="华文仿宋" w:cs="华文仿宋"/>
          <w:b/>
          <w:bCs/>
          <w:sz w:val="60"/>
          <w:szCs w:val="60"/>
        </w:rPr>
      </w:pPr>
      <w:r>
        <w:rPr>
          <w:rFonts w:hint="eastAsia" w:ascii="华文仿宋" w:hAnsi="华文仿宋" w:eastAsia="华文仿宋" w:cs="华文仿宋"/>
          <w:b/>
          <w:bCs/>
          <w:sz w:val="60"/>
          <w:szCs w:val="60"/>
        </w:rPr>
        <w:t>桌面管理软件点位采购项目</w:t>
      </w:r>
    </w:p>
    <w:p>
      <w:pPr>
        <w:pStyle w:val="21"/>
        <w:spacing w:line="312" w:lineRule="atLeast"/>
        <w:outlineLvl w:val="0"/>
        <w:rPr>
          <w:rFonts w:ascii="华文仿宋" w:hAnsi="华文仿宋" w:eastAsia="华文仿宋" w:cs="华文仿宋"/>
          <w:sz w:val="60"/>
          <w:szCs w:val="60"/>
        </w:rPr>
      </w:pPr>
    </w:p>
    <w:p>
      <w:pPr>
        <w:pStyle w:val="21"/>
        <w:spacing w:line="312" w:lineRule="atLeast"/>
        <w:outlineLvl w:val="0"/>
        <w:rPr>
          <w:rFonts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遴选编号：2022-ETLXXB-011</w:t>
      </w:r>
    </w:p>
    <w:p>
      <w:pPr>
        <w:pStyle w:val="12"/>
        <w:rPr>
          <w:rFonts w:ascii="华文仿宋" w:hAnsi="华文仿宋" w:eastAsia="华文仿宋" w:cs="华文仿宋"/>
          <w:sz w:val="36"/>
        </w:rPr>
      </w:pPr>
    </w:p>
    <w:p>
      <w:pPr>
        <w:pStyle w:val="12"/>
        <w:rPr>
          <w:rFonts w:ascii="华文仿宋" w:hAnsi="华文仿宋" w:eastAsia="华文仿宋" w:cs="华文仿宋"/>
          <w:sz w:val="36"/>
        </w:rPr>
      </w:pPr>
      <w:r>
        <w:rPr>
          <w:rFonts w:hint="eastAsia" w:ascii="华文仿宋" w:hAnsi="华文仿宋" w:eastAsia="华文仿宋" w:cs="华文仿宋"/>
          <w:sz w:val="36"/>
        </w:rPr>
        <w:t>2022年</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日</w:t>
      </w:r>
    </w:p>
    <w:p>
      <w:pPr>
        <w:pStyle w:val="12"/>
        <w:rPr>
          <w:rFonts w:ascii="华文仿宋" w:hAnsi="华文仿宋" w:eastAsia="华文仿宋" w:cs="华文仿宋"/>
          <w:sz w:val="36"/>
        </w:rPr>
      </w:pPr>
    </w:p>
    <w:p>
      <w:pPr>
        <w:pStyle w:val="12"/>
        <w:rPr>
          <w:rFonts w:ascii="宋体" w:hAnsi="宋体" w:eastAsia="宋体" w:cs="宋体"/>
          <w:sz w:val="36"/>
        </w:rPr>
      </w:pPr>
    </w:p>
    <w:p>
      <w:pPr>
        <w:pStyle w:val="12"/>
        <w:rPr>
          <w:rFonts w:ascii="宋体" w:hAnsi="宋体" w:eastAsia="宋体" w:cs="宋体"/>
          <w:sz w:val="36"/>
        </w:rPr>
      </w:pPr>
    </w:p>
    <w:p>
      <w:pPr>
        <w:pStyle w:val="12"/>
        <w:jc w:val="both"/>
        <w:rPr>
          <w:rFonts w:ascii="宋体" w:hAnsi="宋体" w:eastAsia="宋体" w:cs="宋体"/>
          <w:sz w:val="36"/>
        </w:rPr>
      </w:pPr>
    </w:p>
    <w:p>
      <w:pPr>
        <w:pStyle w:val="22"/>
        <w:jc w:val="both"/>
        <w:rPr>
          <w:rFonts w:ascii="宋体" w:hAnsi="宋体" w:eastAsia="宋体" w:cs="宋体"/>
        </w:rPr>
      </w:pPr>
      <w:bookmarkStart w:id="0" w:name="_Toc78271168"/>
      <w:r>
        <w:rPr>
          <w:rFonts w:hint="eastAsia" w:ascii="宋体" w:hAnsi="宋体" w:eastAsia="宋体" w:cs="宋体"/>
        </w:rPr>
        <w:t xml:space="preserve">                </w:t>
      </w:r>
      <w:r>
        <w:rPr>
          <w:rFonts w:hint="eastAsia" w:ascii="华文仿宋" w:hAnsi="华文仿宋" w:eastAsia="华文仿宋" w:cs="华文仿宋"/>
        </w:rPr>
        <w:t xml:space="preserve"> 第一章 </w:t>
      </w:r>
      <w:r>
        <w:rPr>
          <w:rFonts w:hint="eastAsia" w:ascii="华文仿宋" w:hAnsi="华文仿宋" w:eastAsia="华文仿宋" w:cs="华文仿宋"/>
        </w:rPr>
        <w:tab/>
      </w:r>
      <w:r>
        <w:rPr>
          <w:rFonts w:hint="eastAsia" w:ascii="华文仿宋" w:hAnsi="华文仿宋" w:eastAsia="华文仿宋" w:cs="华文仿宋"/>
        </w:rPr>
        <w:t>遴选邀请</w:t>
      </w:r>
      <w:bookmarkEnd w:id="0"/>
    </w:p>
    <w:p>
      <w:pPr>
        <w:tabs>
          <w:tab w:val="left" w:pos="3150"/>
        </w:tabs>
        <w:rPr>
          <w:rFonts w:ascii="宋体" w:hAnsi="宋体" w:cs="宋体"/>
          <w:sz w:val="24"/>
        </w:rPr>
      </w:pPr>
      <w:r>
        <w:rPr>
          <w:rFonts w:hint="eastAsia" w:ascii="宋体" w:hAnsi="宋体" w:cs="宋体"/>
          <w:sz w:val="24"/>
        </w:rPr>
        <w:t>遴选编号：2022-ETLXXB-011</w:t>
      </w:r>
    </w:p>
    <w:p>
      <w:pPr>
        <w:pStyle w:val="23"/>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根据医院有关规定，经院主管部门批准，我院拟对桌面管理软件点位采购项目现以院内遴选采购的方式就下列所提供的货物和相关服务进行采购。</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5"/>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桌面管理软件点位采购</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80000.00</w:t>
            </w:r>
          </w:p>
        </w:tc>
      </w:tr>
    </w:tbl>
    <w:p>
      <w:pPr>
        <w:pStyle w:val="23"/>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3"/>
        <w:numPr>
          <w:ilvl w:val="0"/>
          <w:numId w:val="3"/>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本项目不接受联合体投标。</w:t>
      </w:r>
    </w:p>
    <w:p>
      <w:pPr>
        <w:pStyle w:val="23"/>
        <w:numPr>
          <w:ilvl w:val="0"/>
          <w:numId w:val="2"/>
        </w:numPr>
        <w:autoSpaceDE w:val="0"/>
        <w:autoSpaceDN w:val="0"/>
        <w:spacing w:line="360" w:lineRule="exact"/>
        <w:jc w:val="left"/>
        <w:rPr>
          <w:rFonts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022</w:t>
      </w:r>
      <w:r>
        <w:rPr>
          <w:rFonts w:hint="eastAsia" w:ascii="宋体" w:hAnsi="宋体" w:eastAsia="宋体" w:cs="宋体"/>
          <w:b/>
          <w:sz w:val="24"/>
          <w:szCs w:val="24"/>
        </w:rPr>
        <w:t>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日起至2022年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19</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b/>
          <w:bCs/>
          <w:sz w:val="24"/>
          <w:szCs w:val="24"/>
        </w:rPr>
        <w:t>资格证明文件</w:t>
      </w:r>
      <w:r>
        <w:rPr>
          <w:rFonts w:hint="eastAsia" w:ascii="宋体" w:hAnsi="宋体" w:eastAsia="宋体" w:cs="宋体"/>
          <w:sz w:val="24"/>
          <w:szCs w:val="24"/>
        </w:rPr>
        <w:t>包括：供应商的资格文件（三证合一的企业法人营业执照、法人代表授权书）等相关证明的复印件（附件2法人授权格式）；</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设备详细配置：包括提供的信息系统详细的功能清单及技术参数响应情况，并填写技术参数偏离表（详见遴选文件中附件3）；</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rPr>
        <w:t>；</w:t>
      </w:r>
    </w:p>
    <w:bookmarkEnd w:id="3"/>
    <w:bookmarkEnd w:id="4"/>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用户名单：自2019年1月1日以来投标人承接的同类项目案例的用户名单，并提供联系人及联系方式（附合同摘要）（详见遴选文件中附件4）；</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无行贿犯罪记录声明函（详见遴选文件中附件7）；</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服务方案：包括总体解决方案、实施计划、项目管理计划、质量保证计划、项目风险控制措施、服务能力介绍、售后服务方案等。</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投标人认为有必要说明的其他文件。</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9"/>
          <w:rFonts w:ascii="宋体"/>
          <w:szCs w:val="21"/>
        </w:rPr>
        <w:t>liyi@shchildren.com.cn</w:t>
      </w:r>
      <w:r>
        <w:rPr>
          <w:rStyle w:val="19"/>
          <w:rFonts w:ascii="宋体"/>
          <w:szCs w:val="21"/>
        </w:rPr>
        <w:fldChar w:fldCharType="end"/>
      </w:r>
      <w:r>
        <w:rPr>
          <w:rFonts w:hint="eastAsia" w:ascii="宋体" w:hAnsi="宋体" w:eastAsia="宋体" w:cs="宋体"/>
          <w:sz w:val="24"/>
          <w:szCs w:val="24"/>
        </w:rPr>
        <w:t>）。</w:t>
      </w:r>
    </w:p>
    <w:p>
      <w:pPr>
        <w:pStyle w:val="23"/>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3"/>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3"/>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3"/>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9"/>
          <w:rFonts w:ascii="宋体"/>
          <w:szCs w:val="21"/>
        </w:rPr>
        <w:t>liyi@shchildren.com.cn</w:t>
      </w:r>
      <w:r>
        <w:rPr>
          <w:rFonts w:ascii="宋体"/>
          <w:szCs w:val="21"/>
        </w:rPr>
        <w:fldChar w:fldCharType="end"/>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4"/>
        <w:numPr>
          <w:ilvl w:val="0"/>
          <w:numId w:val="5"/>
        </w:numPr>
        <w:spacing w:line="288" w:lineRule="auto"/>
        <w:rPr>
          <w:rFonts w:cs="宋体"/>
          <w:shd w:val="clear" w:color="auto" w:fill="auto"/>
        </w:rPr>
      </w:pPr>
      <w:r>
        <w:rPr>
          <w:rFonts w:hint="eastAsia"/>
          <w:shd w:val="clear" w:color="auto" w:fill="auto"/>
        </w:rPr>
        <w:t>根据疫情防控形势变化和医院疫情防控要求，取消近期遴选项目的现场开标，</w:t>
      </w:r>
      <w:r>
        <w:rPr>
          <w:rFonts w:hint="eastAsia"/>
          <w:color w:val="FF0000"/>
          <w:shd w:val="clear" w:color="auto" w:fill="auto"/>
        </w:rPr>
        <w:t>欲参与遴选的公司请务必于截止时间前点击如下链接完成遴选报名表，未填写报名的公司视为投标无效。</w:t>
      </w:r>
      <w:r>
        <w:rPr>
          <w:rFonts w:hint="eastAsia"/>
          <w:shd w:val="clear" w:color="auto" w:fill="auto"/>
        </w:rPr>
        <w:t xml:space="preserve">https://www.wjx.top/vm/QAuomGd.aspx# </w:t>
      </w:r>
      <w:bookmarkStart w:id="10" w:name="_GoBack"/>
      <w:bookmarkEnd w:id="10"/>
    </w:p>
    <w:p>
      <w:pPr>
        <w:pStyle w:val="14"/>
        <w:numPr>
          <w:ilvl w:val="0"/>
          <w:numId w:val="5"/>
        </w:numPr>
        <w:spacing w:line="288" w:lineRule="auto"/>
        <w:rPr>
          <w:rFonts w:cs="宋体"/>
          <w:shd w:val="clear" w:color="auto" w:fill="auto"/>
        </w:rPr>
      </w:pPr>
      <w:r>
        <w:rPr>
          <w:rFonts w:hint="eastAsia" w:cs="宋体"/>
          <w:shd w:val="clear" w:color="auto" w:fill="auto"/>
        </w:rPr>
        <w:t>所有遴选响应文件务必须</w:t>
      </w:r>
      <w:r>
        <w:rPr>
          <w:rFonts w:hint="eastAsia" w:cs="宋体"/>
          <w:color w:val="FF0000"/>
          <w:shd w:val="clear" w:color="auto" w:fill="auto"/>
        </w:rPr>
        <w:t>排版胶装并按要求以档案袋密封</w:t>
      </w:r>
      <w:r>
        <w:rPr>
          <w:rFonts w:hint="eastAsia" w:cs="宋体"/>
          <w:shd w:val="clear" w:color="auto" w:fill="auto"/>
        </w:rPr>
        <w:t>后于截止时间</w:t>
      </w:r>
      <w:r>
        <w:rPr>
          <w:rFonts w:hint="eastAsia" w:cs="宋体"/>
          <w:u w:val="single"/>
          <w:shd w:val="clear" w:color="auto" w:fill="auto"/>
        </w:rPr>
        <w:t>2022年</w:t>
      </w:r>
      <w:r>
        <w:rPr>
          <w:rFonts w:hint="eastAsia" w:cs="宋体"/>
          <w:u w:val="single"/>
          <w:shd w:val="clear" w:color="auto" w:fill="auto"/>
          <w:lang w:val="en-US" w:eastAsia="zh-CN"/>
        </w:rPr>
        <w:t>12</w:t>
      </w:r>
      <w:r>
        <w:rPr>
          <w:rFonts w:hint="eastAsia" w:cs="宋体"/>
          <w:u w:val="single"/>
          <w:shd w:val="clear" w:color="auto" w:fill="auto"/>
        </w:rPr>
        <w:t>月</w:t>
      </w:r>
      <w:r>
        <w:rPr>
          <w:rFonts w:hint="eastAsia" w:cs="宋体"/>
          <w:u w:val="single"/>
          <w:shd w:val="clear" w:color="auto" w:fill="auto"/>
          <w:lang w:val="en-US" w:eastAsia="zh-CN"/>
        </w:rPr>
        <w:t>19</w:t>
      </w:r>
      <w:r>
        <w:rPr>
          <w:rFonts w:hint="eastAsia" w:cs="宋体"/>
          <w:u w:val="single"/>
          <w:shd w:val="clear" w:color="auto" w:fill="auto"/>
        </w:rPr>
        <w:t>日北京时间17：00前</w:t>
      </w:r>
      <w:r>
        <w:rPr>
          <w:rFonts w:hint="eastAsia" w:cs="宋体"/>
          <w:shd w:val="clear" w:color="auto" w:fill="auto"/>
        </w:rPr>
        <w:t>快递至上海市泸定路355号科教楼采购中心，为保证遴选响应文件在截止时间前到达，烦请务必提前寄出并及时跟踪物流信息。</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14"/>
        <w:numPr>
          <w:ilvl w:val="0"/>
          <w:numId w:val="6"/>
        </w:numPr>
        <w:spacing w:line="288" w:lineRule="auto"/>
        <w:rPr>
          <w:rFonts w:cs="宋体"/>
          <w:shd w:val="clear" w:color="auto" w:fill="auto"/>
        </w:rPr>
      </w:pPr>
      <w:r>
        <w:rPr>
          <w:rFonts w:hint="eastAsia" w:cs="宋体"/>
          <w:shd w:val="clear" w:color="auto" w:fill="auto"/>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w:t>
      </w:r>
    </w:p>
    <w:p>
      <w:pPr>
        <w:pStyle w:val="14"/>
        <w:numPr>
          <w:ilvl w:val="0"/>
          <w:numId w:val="6"/>
        </w:numPr>
        <w:spacing w:line="288" w:lineRule="auto"/>
        <w:rPr>
          <w:rFonts w:cs="宋体"/>
          <w:shd w:val="clear" w:color="auto" w:fill="auto"/>
        </w:rPr>
      </w:pPr>
      <w:r>
        <w:rPr>
          <w:rFonts w:hint="eastAsia" w:cs="宋体"/>
          <w:shd w:val="clear" w:color="auto" w:fill="auto"/>
        </w:rPr>
        <w:t xml:space="preserve">投标人填写的技术规格偏离表中所列的“★”和“▲”号技术指标，应当在投标文件中提供技术支持资料或证明文件。如果技术支持资料页数很多，投标人可以只提供关键页的复印件，但是应当包含投标响应参数所在页的内容，否则可以视为无效技术支持资料。技术支持资料原件备查。具体评分标准如下： </w:t>
      </w:r>
    </w:p>
    <w:tbl>
      <w:tblPr>
        <w:tblStyle w:val="15"/>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280"/>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tblHeader/>
          <w:jc w:val="center"/>
        </w:trPr>
        <w:tc>
          <w:tcPr>
            <w:tcW w:w="124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697"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05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blHeader/>
          <w:jc w:val="center"/>
        </w:trPr>
        <w:tc>
          <w:tcPr>
            <w:tcW w:w="124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697" w:type="pct"/>
            <w:vAlign w:val="center"/>
          </w:tcPr>
          <w:p>
            <w:pPr>
              <w:spacing w:line="360" w:lineRule="auto"/>
              <w:jc w:val="left"/>
              <w:rPr>
                <w:rFonts w:ascii="宋体" w:hAnsi="宋体" w:cs="宋体"/>
                <w:b/>
                <w:spacing w:val="8"/>
                <w:kern w:val="0"/>
                <w:sz w:val="24"/>
              </w:rPr>
            </w:pPr>
            <w:r>
              <w:rPr>
                <w:rFonts w:hint="eastAsia" w:ascii="宋体" w:hAnsi="宋体"/>
                <w:sz w:val="24"/>
              </w:rPr>
              <w:t>40分</w:t>
            </w:r>
          </w:p>
        </w:tc>
        <w:tc>
          <w:tcPr>
            <w:tcW w:w="3056" w:type="pct"/>
            <w:vAlign w:val="center"/>
          </w:tcPr>
          <w:p>
            <w:pPr>
              <w:spacing w:line="360" w:lineRule="auto"/>
              <w:jc w:val="left"/>
              <w:rPr>
                <w:rFonts w:ascii="宋体" w:hAnsi="宋体"/>
                <w:sz w:val="24"/>
              </w:rPr>
            </w:pPr>
            <w:r>
              <w:rPr>
                <w:rFonts w:hint="eastAsia" w:ascii="宋体" w:hAnsi="宋体"/>
                <w:sz w:val="24"/>
              </w:rPr>
              <w:t>N＝40*所有投标中的有效最低投标报价/合格投标人的投标报价。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二、商务部分</w:t>
            </w:r>
          </w:p>
        </w:tc>
        <w:tc>
          <w:tcPr>
            <w:tcW w:w="3753" w:type="pct"/>
            <w:gridSpan w:val="2"/>
            <w:vAlign w:val="center"/>
          </w:tcPr>
          <w:p>
            <w:pPr>
              <w:spacing w:line="360" w:lineRule="auto"/>
              <w:jc w:val="left"/>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blHeader/>
          <w:jc w:val="center"/>
        </w:trPr>
        <w:tc>
          <w:tcPr>
            <w:tcW w:w="1246" w:type="pct"/>
          </w:tcPr>
          <w:p>
            <w:pPr>
              <w:spacing w:line="360" w:lineRule="auto"/>
              <w:jc w:val="left"/>
              <w:rPr>
                <w:rFonts w:ascii="宋体" w:hAnsi="宋体"/>
                <w:sz w:val="24"/>
              </w:rPr>
            </w:pPr>
            <w:r>
              <w:rPr>
                <w:rFonts w:hint="eastAsia" w:ascii="宋体" w:hAnsi="宋体"/>
                <w:sz w:val="24"/>
              </w:rPr>
              <w:t>1、综合实力</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jc w:val="center"/>
        </w:trPr>
        <w:tc>
          <w:tcPr>
            <w:tcW w:w="1246" w:type="pct"/>
          </w:tcPr>
          <w:p>
            <w:pPr>
              <w:spacing w:line="360" w:lineRule="auto"/>
              <w:jc w:val="left"/>
              <w:rPr>
                <w:rFonts w:ascii="宋体" w:hAnsi="宋体"/>
                <w:sz w:val="24"/>
              </w:rPr>
            </w:pPr>
            <w:r>
              <w:rPr>
                <w:rFonts w:hint="eastAsia" w:ascii="宋体" w:hAnsi="宋体"/>
                <w:sz w:val="24"/>
              </w:rPr>
              <w:t>2、类似项目经验</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rPr>
                <w:rFonts w:ascii="宋体" w:hAnsi="宋体"/>
                <w:sz w:val="24"/>
              </w:rPr>
            </w:pPr>
            <w:r>
              <w:rPr>
                <w:rFonts w:hint="eastAsia" w:ascii="宋体" w:hAnsi="宋体"/>
                <w:sz w:val="24"/>
              </w:rPr>
              <w:t>投标人自2019年1月1日以来承接的类似相关业务经验证明(以合同复印件为准，复印件中需体现合同的签约主体、项目名称及内容、签约日期等合同要素的相关内容，否则将不予认可)。每提供一份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三、技术部分</w:t>
            </w:r>
          </w:p>
        </w:tc>
        <w:tc>
          <w:tcPr>
            <w:tcW w:w="3753"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blHeader/>
          <w:jc w:val="center"/>
        </w:trPr>
        <w:tc>
          <w:tcPr>
            <w:tcW w:w="1246" w:type="pct"/>
          </w:tcPr>
          <w:p>
            <w:pPr>
              <w:spacing w:line="360" w:lineRule="auto"/>
              <w:jc w:val="left"/>
              <w:rPr>
                <w:rFonts w:ascii="宋体" w:hAnsi="宋体"/>
                <w:sz w:val="24"/>
              </w:rPr>
            </w:pPr>
            <w:r>
              <w:rPr>
                <w:rFonts w:hint="eastAsia" w:ascii="宋体" w:hAnsi="宋体"/>
                <w:sz w:val="24"/>
              </w:rPr>
              <w:t>1、需求响应情况</w:t>
            </w:r>
          </w:p>
        </w:tc>
        <w:tc>
          <w:tcPr>
            <w:tcW w:w="697" w:type="pct"/>
            <w:vAlign w:val="center"/>
          </w:tcPr>
          <w:p>
            <w:pPr>
              <w:spacing w:line="360" w:lineRule="auto"/>
              <w:jc w:val="left"/>
              <w:rPr>
                <w:rFonts w:ascii="宋体" w:hAnsi="宋体"/>
                <w:sz w:val="24"/>
              </w:rPr>
            </w:pPr>
            <w:r>
              <w:rPr>
                <w:rFonts w:hint="eastAsia" w:ascii="宋体" w:hAnsi="宋体"/>
                <w:sz w:val="24"/>
              </w:rPr>
              <w:t>20分</w:t>
            </w:r>
          </w:p>
        </w:tc>
        <w:tc>
          <w:tcPr>
            <w:tcW w:w="3056" w:type="pct"/>
            <w:vAlign w:val="center"/>
          </w:tcPr>
          <w:p>
            <w:pPr>
              <w:widowControl/>
              <w:spacing w:line="360" w:lineRule="auto"/>
              <w:rPr>
                <w:rFonts w:ascii="宋体" w:hAnsi="宋体"/>
                <w:sz w:val="24"/>
              </w:rPr>
            </w:pPr>
            <w:r>
              <w:rPr>
                <w:rFonts w:hint="eastAsia" w:ascii="宋体" w:hAnsi="宋体" w:cs="宋体"/>
                <w:sz w:val="24"/>
              </w:rPr>
              <w:t>根据各投标人对招标文件需求响应情况进行评审</w:t>
            </w:r>
            <w:r>
              <w:rPr>
                <w:rFonts w:hint="eastAsia" w:ascii="宋体" w:hAnsi="宋体"/>
                <w:sz w:val="24"/>
              </w:rPr>
              <w:t>。如有标注“</w:t>
            </w:r>
            <w:r>
              <w:rPr>
                <w:rFonts w:hint="eastAsia" w:ascii="宋体" w:hAnsi="宋体" w:cs="宋体"/>
                <w:sz w:val="24"/>
              </w:rPr>
              <w:t>▲</w:t>
            </w:r>
            <w:r>
              <w:rPr>
                <w:rFonts w:hint="eastAsia" w:ascii="宋体" w:hAnsi="宋体"/>
                <w:sz w:val="24"/>
              </w:rPr>
              <w:t>”的关键技术参数</w:t>
            </w:r>
            <w:r>
              <w:rPr>
                <w:rFonts w:ascii="宋体" w:hAnsi="宋体"/>
                <w:sz w:val="24"/>
              </w:rPr>
              <w:t>低于或不满足招标文件要求</w:t>
            </w:r>
            <w:r>
              <w:rPr>
                <w:rFonts w:hint="eastAsia" w:ascii="宋体" w:hAnsi="宋体"/>
                <w:sz w:val="24"/>
              </w:rPr>
              <w:t>，有一项扣3分。其他的为一般技术参数，一般技术参数低于招标文件要求，有一项减1分。最低得0分。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blHeader/>
          <w:jc w:val="center"/>
        </w:trPr>
        <w:tc>
          <w:tcPr>
            <w:tcW w:w="1246"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sz w:val="24"/>
              </w:rPr>
              <w:t>最好，得10分-15分(含)；一般，得5分-10分(含)；较差，得0分(含)-5分(含)。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blHeader/>
          <w:jc w:val="center"/>
        </w:trPr>
        <w:tc>
          <w:tcPr>
            <w:tcW w:w="1246"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cs="宋体"/>
                <w:color w:val="000000"/>
                <w:sz w:val="24"/>
              </w:rPr>
            </w:pPr>
            <w:r>
              <w:rPr>
                <w:rFonts w:hint="eastAsia" w:ascii="宋体" w:hAnsi="宋体"/>
                <w:sz w:val="24"/>
              </w:rPr>
              <w:t>最好，得10分-15分(含)；一般，得5分-10分(含)；较差，得0分(含)-5分(含)。</w:t>
            </w:r>
          </w:p>
        </w:tc>
      </w:tr>
    </w:tbl>
    <w:p>
      <w:pPr>
        <w:pStyle w:val="23"/>
        <w:numPr>
          <w:ilvl w:val="0"/>
          <w:numId w:val="2"/>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项目验收合格后，甲方收到乙方出具的正式、合法、有效等额发票及总金额10%的银行保函后三十个工作日，支付乙方合同总金额的10%款项。</w:t>
      </w:r>
    </w:p>
    <w:p>
      <w:pPr>
        <w:pStyle w:val="23"/>
        <w:autoSpaceDE w:val="0"/>
        <w:autoSpaceDN w:val="0"/>
        <w:spacing w:line="360" w:lineRule="exact"/>
        <w:ind w:left="0" w:firstLine="0"/>
        <w:jc w:val="left"/>
        <w:rPr>
          <w:rFonts w:ascii="宋体" w:hAnsi="宋体" w:cs="宋体"/>
          <w:sz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hint="eastAsia" w:ascii="华文仿宋" w:hAnsi="华文仿宋" w:eastAsia="华文仿宋" w:cs="华文仿宋"/>
        </w:rPr>
      </w:pPr>
    </w:p>
    <w:p>
      <w:pPr>
        <w:pStyle w:val="22"/>
        <w:numPr>
          <w:ilvl w:val="0"/>
          <w:numId w:val="8"/>
        </w:numPr>
        <w:rPr>
          <w:rFonts w:hint="eastAsia" w:ascii="华文仿宋" w:hAnsi="华文仿宋" w:eastAsia="华文仿宋" w:cs="华文仿宋"/>
        </w:rPr>
      </w:pPr>
      <w:r>
        <w:rPr>
          <w:rFonts w:hint="eastAsia" w:ascii="华文仿宋" w:hAnsi="华文仿宋" w:eastAsia="华文仿宋" w:cs="华文仿宋"/>
        </w:rPr>
        <w:t>货物需求一览表及技术规格</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spacing w:line="480" w:lineRule="auto"/>
        <w:jc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技术参数与要求</w:t>
      </w:r>
    </w:p>
    <w:p>
      <w:pPr>
        <w:numPr>
          <w:ilvl w:val="0"/>
          <w:numId w:val="9"/>
        </w:numPr>
        <w:spacing w:line="48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桌面管理软件点位采购</w:t>
      </w:r>
    </w:p>
    <w:p>
      <w:pPr>
        <w:numPr>
          <w:ilvl w:val="0"/>
          <w:numId w:val="9"/>
        </w:numPr>
        <w:spacing w:line="48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pPr>
        <w:numPr>
          <w:ilvl w:val="0"/>
          <w:numId w:val="9"/>
        </w:numPr>
        <w:spacing w:line="480" w:lineRule="auto"/>
        <w:rPr>
          <w:rFonts w:ascii="宋体" w:hAnsi="宋体" w:cs="宋体"/>
          <w:b/>
          <w:sz w:val="24"/>
        </w:rPr>
      </w:pPr>
      <w:r>
        <w:rPr>
          <w:rFonts w:hint="eastAsia" w:ascii="宋体" w:hAnsi="宋体" w:cs="宋体"/>
          <w:b/>
          <w:sz w:val="24"/>
        </w:rPr>
        <w:t>建设周期：</w:t>
      </w:r>
      <w:r>
        <w:rPr>
          <w:rFonts w:hint="eastAsia" w:ascii="宋体" w:hAnsi="宋体"/>
          <w:sz w:val="24"/>
        </w:rPr>
        <w:t>合同签订之后3个月内</w:t>
      </w:r>
    </w:p>
    <w:p>
      <w:pPr>
        <w:numPr>
          <w:ilvl w:val="0"/>
          <w:numId w:val="9"/>
        </w:numPr>
        <w:spacing w:line="480" w:lineRule="auto"/>
        <w:rPr>
          <w:rFonts w:ascii="宋体" w:hAnsi="宋体" w:cs="宋体"/>
          <w:b/>
          <w:sz w:val="24"/>
        </w:rPr>
      </w:pPr>
      <w:r>
        <w:rPr>
          <w:rFonts w:hint="eastAsia" w:ascii="宋体" w:hAnsi="宋体" w:cs="宋体"/>
          <w:b/>
          <w:sz w:val="24"/>
        </w:rPr>
        <w:t>技术需求</w:t>
      </w:r>
    </w:p>
    <w:p>
      <w:pPr>
        <w:numPr>
          <w:ilvl w:val="0"/>
          <w:numId w:val="10"/>
        </w:numPr>
        <w:spacing w:line="360" w:lineRule="auto"/>
        <w:rPr>
          <w:rFonts w:ascii="宋体" w:hAnsi="宋体"/>
          <w:sz w:val="24"/>
        </w:rPr>
      </w:pPr>
      <w:r>
        <w:rPr>
          <w:rFonts w:hint="eastAsia" w:ascii="宋体" w:hAnsi="宋体"/>
          <w:sz w:val="24"/>
        </w:rPr>
        <w:t>需遵循的原则</w:t>
      </w:r>
    </w:p>
    <w:p>
      <w:pPr>
        <w:numPr>
          <w:ilvl w:val="1"/>
          <w:numId w:val="10"/>
        </w:numPr>
        <w:spacing w:line="360" w:lineRule="auto"/>
        <w:ind w:left="840" w:hanging="420"/>
        <w:rPr>
          <w:rFonts w:ascii="宋体" w:hAnsi="宋体"/>
          <w:sz w:val="24"/>
        </w:rPr>
      </w:pPr>
      <w:r>
        <w:rPr>
          <w:rFonts w:hint="eastAsia" w:ascii="宋体" w:hAnsi="宋体"/>
          <w:sz w:val="24"/>
        </w:rPr>
        <w:t>先进性原则</w:t>
      </w:r>
    </w:p>
    <w:p>
      <w:pPr>
        <w:spacing w:line="360" w:lineRule="auto"/>
        <w:rPr>
          <w:rFonts w:ascii="宋体" w:hAnsi="宋体"/>
          <w:sz w:val="24"/>
        </w:rPr>
      </w:pPr>
      <w:r>
        <w:rPr>
          <w:rFonts w:hint="eastAsia" w:ascii="宋体" w:hAnsi="宋体"/>
          <w:sz w:val="24"/>
        </w:rPr>
        <w:tab/>
      </w:r>
      <w:r>
        <w:rPr>
          <w:rFonts w:hint="eastAsia" w:ascii="宋体" w:hAnsi="宋体"/>
          <w:sz w:val="24"/>
        </w:rPr>
        <w:t>在建设中要尽可能采用国内外先进的计算机技术、信息技术及通信技术；采用先进的体系结构和技术发展的主流产品，保证系统高效运行。</w:t>
      </w:r>
    </w:p>
    <w:p>
      <w:pPr>
        <w:numPr>
          <w:ilvl w:val="1"/>
          <w:numId w:val="10"/>
        </w:numPr>
        <w:spacing w:line="360" w:lineRule="auto"/>
        <w:ind w:left="840" w:hanging="420"/>
        <w:rPr>
          <w:rFonts w:ascii="宋体" w:hAnsi="宋体"/>
          <w:sz w:val="24"/>
        </w:rPr>
      </w:pPr>
      <w:r>
        <w:rPr>
          <w:rFonts w:hint="eastAsia" w:ascii="宋体" w:hAnsi="宋体"/>
          <w:sz w:val="24"/>
        </w:rPr>
        <w:t>可靠性原则</w:t>
      </w:r>
    </w:p>
    <w:p>
      <w:pPr>
        <w:spacing w:line="360" w:lineRule="auto"/>
        <w:rPr>
          <w:rFonts w:ascii="宋体" w:hAnsi="宋体"/>
          <w:sz w:val="24"/>
        </w:rPr>
      </w:pPr>
      <w:r>
        <w:rPr>
          <w:rFonts w:hint="eastAsia" w:ascii="宋体" w:hAnsi="宋体"/>
          <w:sz w:val="24"/>
        </w:rPr>
        <w:tab/>
      </w:r>
      <w:r>
        <w:rPr>
          <w:rFonts w:hint="eastAsia" w:ascii="宋体" w:hAnsi="宋体"/>
          <w:sz w:val="24"/>
        </w:rPr>
        <w:t>系统运行稳定可靠。根据业务量分析和预测，考虑系统设备的处理能力，系统应具有超负荷控制能力；考虑系统在平时和峰值情况下，安全可靠运行的设备和数据备份机制，确保不死机，没有数据丢失。软硬件设备要求365×24小时不间断运行。</w:t>
      </w:r>
    </w:p>
    <w:p>
      <w:pPr>
        <w:numPr>
          <w:ilvl w:val="1"/>
          <w:numId w:val="10"/>
        </w:numPr>
        <w:spacing w:line="360" w:lineRule="auto"/>
        <w:ind w:left="840" w:hanging="420"/>
        <w:rPr>
          <w:rFonts w:ascii="宋体" w:hAnsi="宋体"/>
          <w:sz w:val="24"/>
        </w:rPr>
      </w:pPr>
      <w:r>
        <w:rPr>
          <w:rFonts w:hint="eastAsia" w:ascii="宋体" w:hAnsi="宋体"/>
          <w:sz w:val="24"/>
        </w:rPr>
        <w:t>实用性原则</w:t>
      </w:r>
    </w:p>
    <w:p>
      <w:pPr>
        <w:spacing w:line="360" w:lineRule="auto"/>
        <w:rPr>
          <w:rFonts w:ascii="宋体" w:hAnsi="宋体"/>
          <w:sz w:val="24"/>
        </w:rPr>
      </w:pPr>
      <w:r>
        <w:rPr>
          <w:rFonts w:hint="eastAsia" w:ascii="宋体" w:hAnsi="宋体"/>
          <w:sz w:val="24"/>
        </w:rPr>
        <w:tab/>
      </w:r>
      <w:r>
        <w:rPr>
          <w:rFonts w:hint="eastAsia" w:ascii="宋体" w:hAnsi="宋体"/>
          <w:sz w:val="24"/>
        </w:rPr>
        <w:t>能够最大限度地满足医疗工作的需要，一方面计算机系统应实现基础数据共享，为相关的应用系统调用，另一方面各种系统应提供使用于各个层次计算机知识水平的人员及其管理人员，系统的报表定制，参数设置等便利直观、个性化。</w:t>
      </w:r>
    </w:p>
    <w:p>
      <w:pPr>
        <w:numPr>
          <w:ilvl w:val="1"/>
          <w:numId w:val="10"/>
        </w:numPr>
        <w:spacing w:line="360" w:lineRule="auto"/>
        <w:ind w:left="840" w:hanging="420"/>
        <w:rPr>
          <w:rFonts w:ascii="宋体" w:hAnsi="宋体"/>
          <w:sz w:val="24"/>
        </w:rPr>
      </w:pPr>
      <w:r>
        <w:rPr>
          <w:rFonts w:hint="eastAsia" w:ascii="宋体" w:hAnsi="宋体"/>
          <w:sz w:val="24"/>
        </w:rPr>
        <w:t>开放性原则</w:t>
      </w:r>
    </w:p>
    <w:p>
      <w:pPr>
        <w:spacing w:line="360" w:lineRule="auto"/>
        <w:rPr>
          <w:rFonts w:ascii="宋体" w:hAnsi="宋体"/>
          <w:sz w:val="24"/>
        </w:rPr>
      </w:pPr>
      <w:r>
        <w:rPr>
          <w:rFonts w:hint="eastAsia" w:ascii="宋体" w:hAnsi="宋体"/>
          <w:sz w:val="24"/>
        </w:rPr>
        <w:tab/>
      </w:r>
      <w:r>
        <w:rPr>
          <w:rFonts w:hint="eastAsia" w:ascii="宋体" w:hAnsi="宋体"/>
          <w:sz w:val="24"/>
        </w:rPr>
        <w:t>要构建灵活、开放的体系结构，保证现有数据库的数据的移植，有效利用。同时为系统扩展、升级及不可预见的管理模式的改变留有余地，并为后期建设的平稳过渡打下基础。</w:t>
      </w:r>
    </w:p>
    <w:p>
      <w:pPr>
        <w:numPr>
          <w:ilvl w:val="1"/>
          <w:numId w:val="10"/>
        </w:numPr>
        <w:spacing w:line="360" w:lineRule="auto"/>
        <w:ind w:left="840" w:hanging="420"/>
        <w:rPr>
          <w:rFonts w:ascii="宋体" w:hAnsi="宋体"/>
          <w:sz w:val="24"/>
        </w:rPr>
      </w:pPr>
      <w:r>
        <w:rPr>
          <w:rFonts w:hint="eastAsia" w:ascii="宋体" w:hAnsi="宋体"/>
          <w:sz w:val="24"/>
        </w:rPr>
        <w:t>可扩展性原则</w:t>
      </w:r>
    </w:p>
    <w:p>
      <w:pPr>
        <w:spacing w:line="360" w:lineRule="auto"/>
        <w:rPr>
          <w:rFonts w:ascii="宋体" w:hAnsi="宋体"/>
          <w:sz w:val="24"/>
        </w:rPr>
      </w:pPr>
      <w:r>
        <w:rPr>
          <w:rFonts w:hint="eastAsia" w:ascii="宋体" w:hAnsi="宋体"/>
          <w:sz w:val="24"/>
        </w:rPr>
        <w:tab/>
      </w:r>
      <w:r>
        <w:rPr>
          <w:rFonts w:hint="eastAsia" w:ascii="宋体" w:hAnsi="宋体"/>
          <w:sz w:val="24"/>
        </w:rPr>
        <w:t>在系统的设计中不仅应考虑目前的业务需求，更应该满足未来业务量及接入手段种类增长的需求，系统规模应具有可调性。</w:t>
      </w:r>
    </w:p>
    <w:p>
      <w:pPr>
        <w:numPr>
          <w:ilvl w:val="1"/>
          <w:numId w:val="10"/>
        </w:numPr>
        <w:spacing w:line="360" w:lineRule="auto"/>
        <w:ind w:left="840" w:hanging="420"/>
        <w:rPr>
          <w:rFonts w:ascii="宋体" w:hAnsi="宋体"/>
          <w:sz w:val="24"/>
        </w:rPr>
      </w:pPr>
      <w:r>
        <w:rPr>
          <w:rFonts w:hint="eastAsia" w:ascii="宋体" w:hAnsi="宋体"/>
          <w:sz w:val="24"/>
        </w:rPr>
        <w:t>安全性原则</w:t>
      </w:r>
    </w:p>
    <w:p>
      <w:pPr>
        <w:spacing w:line="360" w:lineRule="auto"/>
        <w:rPr>
          <w:rFonts w:ascii="宋体" w:hAnsi="宋体"/>
          <w:sz w:val="24"/>
        </w:rPr>
      </w:pPr>
      <w:r>
        <w:rPr>
          <w:rFonts w:hint="eastAsia" w:ascii="宋体" w:hAnsi="宋体"/>
          <w:sz w:val="24"/>
        </w:rPr>
        <w:tab/>
      </w:r>
      <w:r>
        <w:rPr>
          <w:rFonts w:hint="eastAsia" w:ascii="宋体" w:hAnsi="宋体"/>
          <w:sz w:val="24"/>
        </w:rPr>
        <w:t>系统的安全考虑重点在加强其抗干扰能力和抗破坏能力。需要采用多种手段，确保数据安全，保证信息传递的及时、准确，提高系统的抗干扰能力和抗破坏能力。</w:t>
      </w:r>
    </w:p>
    <w:p>
      <w:pPr>
        <w:numPr>
          <w:ilvl w:val="0"/>
          <w:numId w:val="10"/>
        </w:numPr>
        <w:spacing w:line="360" w:lineRule="auto"/>
        <w:rPr>
          <w:rFonts w:ascii="宋体" w:hAnsi="宋体"/>
          <w:sz w:val="24"/>
        </w:rPr>
      </w:pPr>
      <w:r>
        <w:rPr>
          <w:rFonts w:hint="eastAsia" w:ascii="宋体" w:hAnsi="宋体"/>
          <w:sz w:val="24"/>
        </w:rPr>
        <w:t>整体技术要求</w:t>
      </w:r>
    </w:p>
    <w:p>
      <w:pPr>
        <w:numPr>
          <w:ilvl w:val="1"/>
          <w:numId w:val="10"/>
        </w:numPr>
        <w:spacing w:line="360" w:lineRule="auto"/>
        <w:rPr>
          <w:rFonts w:ascii="宋体" w:hAnsi="宋体"/>
          <w:sz w:val="24"/>
        </w:rPr>
      </w:pPr>
      <w:r>
        <w:rPr>
          <w:rFonts w:hint="eastAsia" w:ascii="宋体" w:hAnsi="宋体"/>
          <w:sz w:val="24"/>
        </w:rPr>
        <w:t>软件产品要求严格执行国家有关软件工程的标准，要求符合卫生部的《医院信息系统基本功能规范》的要求。</w:t>
      </w:r>
    </w:p>
    <w:p>
      <w:pPr>
        <w:numPr>
          <w:ilvl w:val="1"/>
          <w:numId w:val="10"/>
        </w:numPr>
        <w:spacing w:line="360" w:lineRule="auto"/>
        <w:rPr>
          <w:rFonts w:ascii="宋体" w:hAnsi="宋体"/>
          <w:sz w:val="24"/>
        </w:rPr>
      </w:pPr>
      <w:r>
        <w:rPr>
          <w:rFonts w:hint="eastAsia" w:ascii="宋体" w:hAnsi="宋体"/>
          <w:sz w:val="24"/>
        </w:rPr>
        <w:t>采用先进的一体化软件多层体系结构，基于C/S架构。数据库应能支持企业级大型关系型或后关系型数据库，必须保证500以上用户并发访问的性能要求，支持多种数据备份方式，提供完整的数据恢复能力。</w:t>
      </w:r>
    </w:p>
    <w:p>
      <w:pPr>
        <w:numPr>
          <w:ilvl w:val="1"/>
          <w:numId w:val="10"/>
        </w:numPr>
        <w:spacing w:line="360" w:lineRule="auto"/>
        <w:rPr>
          <w:rFonts w:ascii="宋体" w:hAnsi="宋体"/>
          <w:sz w:val="24"/>
        </w:rPr>
      </w:pPr>
      <w:r>
        <w:rPr>
          <w:rFonts w:hint="eastAsia" w:ascii="宋体" w:hAnsi="宋体"/>
          <w:sz w:val="24"/>
        </w:rPr>
        <w:t>软件具有可扩展性，稳定性强，高可用性及高效率，并行处理能力强，界面美观，操作方便；系统须具有严格的权限分级制度，并有严谨的操作日志和管理日志登记。</w:t>
      </w:r>
    </w:p>
    <w:p>
      <w:pPr>
        <w:numPr>
          <w:ilvl w:val="1"/>
          <w:numId w:val="10"/>
        </w:numPr>
        <w:spacing w:line="360" w:lineRule="auto"/>
        <w:rPr>
          <w:rFonts w:ascii="宋体" w:hAnsi="宋体"/>
          <w:sz w:val="24"/>
        </w:rPr>
      </w:pPr>
      <w:r>
        <w:rPr>
          <w:rFonts w:hint="eastAsia" w:ascii="宋体" w:hAnsi="宋体"/>
          <w:sz w:val="24"/>
        </w:rPr>
        <w:t>贯彻国家、上海市有关信息安全文件的要求，在努力推进信息共享的同时，切实保护数据安全和个人隐私。</w:t>
      </w:r>
    </w:p>
    <w:p>
      <w:pPr>
        <w:numPr>
          <w:ilvl w:val="0"/>
          <w:numId w:val="10"/>
        </w:numPr>
        <w:spacing w:line="360" w:lineRule="auto"/>
        <w:rPr>
          <w:rFonts w:ascii="宋体" w:hAnsi="宋体"/>
          <w:sz w:val="24"/>
        </w:rPr>
      </w:pPr>
      <w:r>
        <w:rPr>
          <w:rFonts w:hint="eastAsia" w:ascii="宋体" w:hAnsi="宋体"/>
          <w:sz w:val="24"/>
        </w:rPr>
        <w:t>技术需求及参数</w:t>
      </w:r>
    </w:p>
    <w:tbl>
      <w:tblPr>
        <w:tblStyle w:val="15"/>
        <w:tblW w:w="8520" w:type="dxa"/>
        <w:jc w:val="center"/>
        <w:tblLayout w:type="autofit"/>
        <w:tblCellMar>
          <w:top w:w="0" w:type="dxa"/>
          <w:left w:w="108" w:type="dxa"/>
          <w:bottom w:w="0" w:type="dxa"/>
          <w:right w:w="108" w:type="dxa"/>
        </w:tblCellMar>
      </w:tblPr>
      <w:tblGrid>
        <w:gridCol w:w="742"/>
        <w:gridCol w:w="2407"/>
        <w:gridCol w:w="5371"/>
      </w:tblGrid>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指标项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技术参数</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终端安全管理系统</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系统具备日志审计、移动存储管理、外设管理、补丁管理、运维管理、水印管理等核心管理功能；提供</w:t>
            </w:r>
            <w:r>
              <w:rPr>
                <w:rFonts w:hint="eastAsia" w:ascii="宋体" w:hAnsi="宋体" w:cs="宋体"/>
                <w:color w:val="000000"/>
                <w:kern w:val="0"/>
                <w:sz w:val="24"/>
                <w:u w:val="single"/>
                <w:lang w:bidi="ar"/>
              </w:rPr>
              <w:t xml:space="preserve"> 475 </w:t>
            </w:r>
            <w:r>
              <w:rPr>
                <w:rFonts w:hint="eastAsia" w:ascii="宋体" w:hAnsi="宋体" w:cs="宋体"/>
                <w:color w:val="000000"/>
                <w:kern w:val="0"/>
                <w:sz w:val="24"/>
                <w:lang w:bidi="ar"/>
              </w:rPr>
              <w:t>个终端管理授权。</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★系统构架（须提供截图证明）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为了能够体现更好的远程运维需求，系统设计为C/S构架，管理员需通过EXE控制台程序对于终端进行管理。</w:t>
            </w:r>
          </w:p>
        </w:tc>
      </w:tr>
      <w:tr>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系统信息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管理端可以查看客户端的系统信息、IP地址、MAC地址、客户端版本号、CPU/内存/硬盘温度。</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★远程屏幕协助</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快速接管（在1秒钟内接管终端电脑屏幕）远程监看或者（控制效果流畅）客户端的计算机。当对终端计算机进行远程控制时，客户互传终端计算机中的文件，针对终端为双屏的电脑，管理员可以点击主/副屏切换进行控制，客户端本地也可以邀请管理员远程操作自己的电脑。</w:t>
            </w:r>
          </w:p>
        </w:tc>
      </w:tr>
      <w:tr>
        <w:tblPrEx>
          <w:tblCellMar>
            <w:top w:w="0" w:type="dxa"/>
            <w:left w:w="108" w:type="dxa"/>
            <w:bottom w:w="0" w:type="dxa"/>
            <w:right w:w="108" w:type="dxa"/>
          </w:tblCellMar>
        </w:tblPrEx>
        <w:trPr>
          <w:trHeight w:val="120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水印管理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★桌面助手（须提供截图证明）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桌面IP展示</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支持桌面展示机器名称、IP、MAC、日期、工作组以及自定义内容。显示的文字字体、大小、颜色均可设置，管理员可以通过九宫格的方式设置显示位置。</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kern w:val="0"/>
                <w:sz w:val="24"/>
                <w:lang w:bidi="ar"/>
              </w:rPr>
              <w:t>多屏墙（须提供截图证明）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管理员可以实时查看多个计算机的电脑屏幕，最大支持64屏同时监看；可灵活设置监控屏数和自动循环播放的时间。</w:t>
            </w:r>
          </w:p>
        </w:tc>
      </w:tr>
      <w:tr>
        <w:tblPrEx>
          <w:tblCellMar>
            <w:top w:w="0" w:type="dxa"/>
            <w:left w:w="108" w:type="dxa"/>
            <w:bottom w:w="0" w:type="dxa"/>
            <w:right w:w="108" w:type="dxa"/>
          </w:tblCellMar>
        </w:tblPrEx>
        <w:trPr>
          <w:trHeight w:val="959"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★系统盘自动还原（须提供截图证明）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对于终端计算机提供系统盘还原功能，每次计算机重启，对于系统盘的写入信息，全部丢弃，系统盘恢复原状。</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U盘管理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硬件资产管理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软件资产管理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管理者可以查询软件统计报表，自动收集软件的变更情况。可以统计安全软件名称、安装日期、版本号、发布者。</w:t>
            </w:r>
          </w:p>
        </w:tc>
      </w:tr>
      <w:tr>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杀毒软件检测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管理员可以按计算机模式查看所有客户端的杀毒软件状况，包括是否安装杀毒软件、杀毒软件状态、杀毒软件版本号等。</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Windows服务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查看客户端的windows服务状况，可以设置WINDOWS服务端状态，如禁用、启用服务等。可以禁止、禁用、启用服务。</w:t>
            </w:r>
          </w:p>
        </w:tc>
      </w:tr>
      <w:tr>
        <w:tblPrEx>
          <w:tblCellMar>
            <w:top w:w="0" w:type="dxa"/>
            <w:left w:w="108" w:type="dxa"/>
            <w:bottom w:w="0" w:type="dxa"/>
            <w:right w:w="108" w:type="dxa"/>
          </w:tblCellMar>
        </w:tblPrEx>
        <w:trPr>
          <w:trHeight w:val="2501"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windows补丁管理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kern w:val="0"/>
                <w:sz w:val="24"/>
                <w:lang w:bidi="ar"/>
              </w:rPr>
              <w:t>自动同步时间（须提供截图证明）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客户端自动同步服务器时间。</w:t>
            </w:r>
          </w:p>
        </w:tc>
      </w:tr>
      <w:tr>
        <w:tblPrEx>
          <w:tblCellMar>
            <w:top w:w="0" w:type="dxa"/>
            <w:left w:w="108" w:type="dxa"/>
            <w:bottom w:w="0" w:type="dxa"/>
            <w:right w:w="108" w:type="dxa"/>
          </w:tblCellMar>
        </w:tblPrEx>
        <w:trPr>
          <w:trHeight w:val="9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文件外发记录/控制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★系统提供大屏幕展示功能（须提供截图证明）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计算机维保在1至3年，3至5年，5至10年，10年以上的各个阶段的计算机数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★软件中心（须提供截图证明）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管理员可以将单位需要的软件安装包上传到服务器上，可以设置软件的名称、分类、版本号和备注，软件中心以WEB形式展示，用户可以按照分类选择自己需要的软件进行下载安装。</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客户端会自动记录用户文档的操作路径、所在磁盘和所使用的文档编辑程序等，包括创建、访问、复制、剪切、重命名、删除、外发等动作</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文件操作报表</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系统生成文件操作统计报表。</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管理员管理功能配置</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可以设置多个管理员账号，针对不同账号，分配不同可管理的部门和拥有的权限</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远程执行命令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管理员可以对远程计算机执行命令。</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远程电源管理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对远程计算机执行开机、关机、重启、注销等操作</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文件分发</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管理员可以对远程计算机进行文件传送。可以自定义文件分发位置。支持多人传送。以任务的形式提交到服务器，对于在线的计算机立刻分发，对于不在线的计算机，开机后自动执行分发任务。</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软件安装</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屏幕保护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可以远程批量统一分发客户端桌面屏保；管理员可以在系统中上传制作好的屏幕保护文件，以及无操作多长时间后启动屏保。</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桌面背景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可以远程批量统一分发客户端桌面背景。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实时网络状态</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可以查看每台计算机的网络状态，包括使用协议、本地地址、远程地址、本地端口、远程端口、当前状态、占用进程、进程ID等信息。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程序访问控制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管理者可以设置员工禁止访问的程序。可以根据动态链接库名称对于程序使用进行控制。也可以根据程序的MD5进行控制。</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程序MD5搜集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客户端开机可以自动搜集网络内部程序的MD5值，上传到服务器，形成MD5库。</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程序访问审计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记录客户端程序使用日志。包括程序运行路径、开始时间、结束时间、产品名称、公司名称等信息。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程序违规访问报警</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对违规程序使用行为进行自动报警。</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程序日志统计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可以形成多种类型的程序统计报表。包括访使用程序最多的前20名的计算机、使用次数最多的程序前20名，使用时间最多的程序前20名。形成饼状图、柱状图和列表。</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正在运行进程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可以查看客户端正在运行的程序。且管理员后台可直接结束进程</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禁用外设</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禁止终端计算机使用软驱，光驱，红外，蓝牙，MODEM，声卡，COM口，禁用图形图像设备，禁用便携式设备，禁用无线网卡。</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打印操作记录打印操作记录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记录终端计算机的打印信息，包括：打印时间，打印页数，打印文件按名，使用的打印机以及打印的内容形成图片保存到服务器上。</w:t>
            </w:r>
          </w:p>
        </w:tc>
      </w:tr>
      <w:tr>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开机启动项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查看并管理开机启动项</w:t>
            </w:r>
          </w:p>
        </w:tc>
      </w:tr>
      <w:tr>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资质要求</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资质要求：公安部颁发的信息安全产品专用销售许可证、国家版权局颁发的计算机软件著作权登记证书。</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★授权</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提供原厂授权和一年售后服务承诺函。</w:t>
            </w:r>
          </w:p>
        </w:tc>
      </w:tr>
    </w:tbl>
    <w:p>
      <w:pPr>
        <w:numPr>
          <w:ilvl w:val="0"/>
          <w:numId w:val="9"/>
        </w:numPr>
        <w:spacing w:line="480" w:lineRule="auto"/>
        <w:rPr>
          <w:rFonts w:ascii="宋体" w:hAnsi="宋体" w:cs="宋体"/>
          <w:b/>
          <w:sz w:val="24"/>
        </w:rPr>
      </w:pPr>
      <w:r>
        <w:rPr>
          <w:rFonts w:hint="eastAsia" w:ascii="宋体" w:hAnsi="宋体" w:cs="宋体"/>
          <w:b/>
          <w:sz w:val="24"/>
        </w:rPr>
        <w:t>实施、验收和售后服务要求</w:t>
      </w:r>
    </w:p>
    <w:p>
      <w:pPr>
        <w:pStyle w:val="24"/>
        <w:numPr>
          <w:ilvl w:val="0"/>
          <w:numId w:val="11"/>
        </w:numPr>
        <w:spacing w:line="360" w:lineRule="auto"/>
        <w:ind w:firstLineChars="0"/>
        <w:rPr>
          <w:rFonts w:ascii="宋体" w:hAnsi="宋体"/>
          <w:sz w:val="24"/>
        </w:rPr>
      </w:pPr>
      <w:r>
        <w:rPr>
          <w:rFonts w:hint="eastAsia" w:ascii="宋体" w:hAnsi="宋体"/>
          <w:sz w:val="24"/>
        </w:rPr>
        <w:t>总体要求</w:t>
      </w:r>
    </w:p>
    <w:p>
      <w:pPr>
        <w:pStyle w:val="24"/>
        <w:numPr>
          <w:ilvl w:val="1"/>
          <w:numId w:val="12"/>
        </w:numPr>
        <w:spacing w:line="360" w:lineRule="auto"/>
        <w:ind w:firstLineChars="0"/>
        <w:rPr>
          <w:rFonts w:ascii="宋体" w:hAnsi="宋体"/>
          <w:sz w:val="24"/>
        </w:rPr>
      </w:pPr>
      <w:r>
        <w:rPr>
          <w:rFonts w:hint="eastAsia" w:ascii="宋体" w:hAnsi="宋体"/>
          <w:sz w:val="24"/>
        </w:rPr>
        <w:t>投标人在上海有固定的售后服务团队。</w:t>
      </w:r>
    </w:p>
    <w:p>
      <w:pPr>
        <w:pStyle w:val="24"/>
        <w:numPr>
          <w:ilvl w:val="1"/>
          <w:numId w:val="12"/>
        </w:numPr>
        <w:spacing w:line="360" w:lineRule="auto"/>
        <w:ind w:firstLineChars="0"/>
        <w:rPr>
          <w:rFonts w:ascii="宋体" w:hAnsi="宋体"/>
          <w:sz w:val="24"/>
        </w:rPr>
      </w:pPr>
      <w:r>
        <w:rPr>
          <w:rFonts w:hint="eastAsia" w:ascii="宋体" w:hAnsi="宋体"/>
          <w:sz w:val="24"/>
        </w:rPr>
        <w:t>投标人应本着认真负责态度，组织技术队伍，认真做好项目的实施工作。在签订合同前，提出具体实施、服务、维护以及今后技术支持的措施计划和承诺。</w:t>
      </w:r>
    </w:p>
    <w:p>
      <w:pPr>
        <w:pStyle w:val="24"/>
        <w:numPr>
          <w:ilvl w:val="1"/>
          <w:numId w:val="12"/>
        </w:numPr>
        <w:spacing w:line="360" w:lineRule="auto"/>
        <w:ind w:firstLineChars="0"/>
        <w:rPr>
          <w:rFonts w:ascii="宋体" w:hAnsi="宋体"/>
          <w:sz w:val="24"/>
        </w:rPr>
      </w:pPr>
      <w:r>
        <w:rPr>
          <w:rFonts w:hint="eastAsia" w:ascii="宋体" w:hAnsi="宋体"/>
          <w:sz w:val="24"/>
        </w:rPr>
        <w:t>投标人必须提供项目实施计划，经用户方同意后，严格执行。如果遇到问题，由项目组提出项目变更说明，经医院和系统提供商确定后，修改计划。</w:t>
      </w:r>
    </w:p>
    <w:p>
      <w:pPr>
        <w:pStyle w:val="24"/>
        <w:numPr>
          <w:ilvl w:val="1"/>
          <w:numId w:val="12"/>
        </w:numPr>
        <w:spacing w:line="360" w:lineRule="auto"/>
        <w:ind w:firstLineChars="0"/>
        <w:rPr>
          <w:rFonts w:ascii="宋体" w:hAnsi="宋体"/>
          <w:sz w:val="24"/>
        </w:rPr>
      </w:pPr>
      <w:r>
        <w:rPr>
          <w:rFonts w:hint="eastAsia" w:ascii="宋体" w:hAnsi="宋体"/>
          <w:sz w:val="24"/>
        </w:rPr>
        <w:t>投标人应负责在项目验收时将系统的全部有关技术文件、资料、验收报告等文档汇集成册交付用户方。</w:t>
      </w:r>
    </w:p>
    <w:p>
      <w:pPr>
        <w:pStyle w:val="24"/>
        <w:numPr>
          <w:ilvl w:val="1"/>
          <w:numId w:val="12"/>
        </w:numPr>
        <w:spacing w:line="360" w:lineRule="auto"/>
        <w:ind w:firstLineChars="0"/>
        <w:rPr>
          <w:rFonts w:ascii="宋体" w:hAnsi="宋体"/>
          <w:sz w:val="24"/>
        </w:rPr>
      </w:pPr>
      <w:r>
        <w:rPr>
          <w:rFonts w:hint="eastAsia" w:ascii="宋体" w:hAnsi="宋体"/>
          <w:sz w:val="24"/>
        </w:rPr>
        <w:t>结合医院实际情况，拟定详细的系统实施计划，包括测试、试运行、培训及上线计划。承诺保证在合同规定时间内上线及上线后系统平稳运行。</w:t>
      </w:r>
    </w:p>
    <w:p>
      <w:pPr>
        <w:pStyle w:val="24"/>
        <w:numPr>
          <w:ilvl w:val="0"/>
          <w:numId w:val="12"/>
        </w:numPr>
        <w:spacing w:line="360" w:lineRule="auto"/>
        <w:ind w:firstLineChars="0"/>
        <w:rPr>
          <w:rFonts w:ascii="宋体" w:hAnsi="宋体"/>
          <w:sz w:val="24"/>
        </w:rPr>
      </w:pPr>
      <w:r>
        <w:rPr>
          <w:rFonts w:hint="eastAsia" w:ascii="宋体" w:hAnsi="宋体"/>
          <w:sz w:val="24"/>
        </w:rPr>
        <w:t>人员培训:投标人应负责使用人员的培训并在项目实施后继续按照医院要求继续定期培训。培训对象包括信息科系统管理员、日常维护人员。系统管理人员培训内容为系统中涉及的相关技术内容；管理人员培训内容为系统流程和相关管理思想；操作员为系统的操作培训。</w:t>
      </w:r>
    </w:p>
    <w:p>
      <w:pPr>
        <w:pStyle w:val="24"/>
        <w:numPr>
          <w:ilvl w:val="0"/>
          <w:numId w:val="12"/>
        </w:numPr>
        <w:spacing w:line="360" w:lineRule="auto"/>
        <w:ind w:firstLineChars="0"/>
        <w:rPr>
          <w:rFonts w:ascii="宋体" w:hAnsi="宋体"/>
          <w:sz w:val="24"/>
        </w:rPr>
      </w:pPr>
      <w:r>
        <w:rPr>
          <w:rFonts w:hint="eastAsia" w:ascii="宋体" w:hAnsi="宋体"/>
          <w:sz w:val="24"/>
        </w:rPr>
        <w:t>对实施人员的要求</w:t>
      </w:r>
    </w:p>
    <w:p>
      <w:pPr>
        <w:pStyle w:val="24"/>
        <w:numPr>
          <w:ilvl w:val="1"/>
          <w:numId w:val="12"/>
        </w:numPr>
        <w:spacing w:line="360" w:lineRule="auto"/>
        <w:ind w:firstLineChars="0"/>
        <w:rPr>
          <w:rFonts w:ascii="宋体" w:hAnsi="宋体"/>
          <w:sz w:val="24"/>
        </w:rPr>
      </w:pPr>
      <w:r>
        <w:rPr>
          <w:rFonts w:hint="eastAsia" w:ascii="宋体" w:hAnsi="宋体"/>
          <w:sz w:val="24"/>
        </w:rPr>
        <w:t>医院有权根据实施情况要求更换项目经理和实施人员。</w:t>
      </w:r>
    </w:p>
    <w:p>
      <w:pPr>
        <w:pStyle w:val="24"/>
        <w:numPr>
          <w:ilvl w:val="1"/>
          <w:numId w:val="12"/>
        </w:numPr>
        <w:spacing w:line="360" w:lineRule="auto"/>
        <w:ind w:firstLineChars="0"/>
        <w:rPr>
          <w:rFonts w:ascii="宋体" w:hAnsi="宋体"/>
          <w:sz w:val="24"/>
        </w:rPr>
      </w:pPr>
      <w:r>
        <w:rPr>
          <w:rFonts w:hint="eastAsia" w:ascii="宋体" w:hAnsi="宋体"/>
          <w:sz w:val="24"/>
        </w:rPr>
        <w:t>对投标人项目经理等级基本要求：要求投标人针对本项目成立项目小组，在投标书中提供书面名单，人员一旦得到医院确认，无特殊理由不得随意变动，其中项目经理必须具有相当资质并有三级甲等综合性医院的相关信息系统实施经验，且项目经理未得到医院同意的情况下不得随意更换。</w:t>
      </w:r>
    </w:p>
    <w:p>
      <w:pPr>
        <w:pStyle w:val="24"/>
        <w:numPr>
          <w:ilvl w:val="0"/>
          <w:numId w:val="12"/>
        </w:numPr>
        <w:spacing w:line="360" w:lineRule="auto"/>
        <w:ind w:firstLineChars="0"/>
        <w:rPr>
          <w:rFonts w:ascii="宋体" w:hAnsi="宋体"/>
          <w:sz w:val="24"/>
        </w:rPr>
      </w:pPr>
      <w:r>
        <w:rPr>
          <w:rFonts w:hint="eastAsia" w:ascii="宋体" w:hAnsi="宋体"/>
          <w:sz w:val="24"/>
        </w:rPr>
        <w:t>技术文档:系统验收后投标人须提供详细的软件相关技术文档，包括：使用手册、验收报告等。</w:t>
      </w:r>
    </w:p>
    <w:p>
      <w:pPr>
        <w:pStyle w:val="24"/>
        <w:numPr>
          <w:ilvl w:val="0"/>
          <w:numId w:val="12"/>
        </w:numPr>
        <w:spacing w:line="360" w:lineRule="auto"/>
        <w:ind w:firstLineChars="0"/>
        <w:rPr>
          <w:rFonts w:ascii="宋体" w:hAnsi="宋体"/>
          <w:sz w:val="24"/>
        </w:rPr>
      </w:pPr>
      <w:r>
        <w:rPr>
          <w:rFonts w:hint="eastAsia" w:ascii="宋体" w:hAnsi="宋体"/>
          <w:sz w:val="24"/>
        </w:rPr>
        <w:t>系统维护、</w:t>
      </w:r>
      <w:r>
        <w:rPr>
          <w:rFonts w:ascii="宋体" w:hAnsi="宋体"/>
          <w:sz w:val="24"/>
        </w:rPr>
        <w:t>售后服务</w:t>
      </w:r>
    </w:p>
    <w:p>
      <w:pPr>
        <w:pStyle w:val="24"/>
        <w:numPr>
          <w:ilvl w:val="1"/>
          <w:numId w:val="12"/>
        </w:numPr>
        <w:spacing w:line="360" w:lineRule="auto"/>
        <w:ind w:firstLineChars="0"/>
        <w:rPr>
          <w:rFonts w:ascii="宋体" w:hAnsi="宋体"/>
          <w:sz w:val="24"/>
        </w:rPr>
      </w:pPr>
      <w:r>
        <w:rPr>
          <w:rFonts w:hint="eastAsia" w:ascii="宋体" w:hAnsi="宋体"/>
          <w:sz w:val="24"/>
        </w:rPr>
        <w:t>免费维护期：本项目验收合格后，投标人必须提供至少</w:t>
      </w:r>
      <w:r>
        <w:rPr>
          <w:rFonts w:ascii="宋体" w:hAnsi="宋体"/>
          <w:sz w:val="24"/>
        </w:rPr>
        <w:t>1</w:t>
      </w:r>
      <w:r>
        <w:rPr>
          <w:rFonts w:hint="eastAsia" w:ascii="宋体" w:hAnsi="宋体"/>
          <w:sz w:val="24"/>
        </w:rPr>
        <w:t>年的软件升级、免费技术维护服务，其中包括问题响应、上门处理，保证投标人所投软件的正常运行。</w:t>
      </w:r>
    </w:p>
    <w:p>
      <w:pPr>
        <w:pStyle w:val="24"/>
        <w:numPr>
          <w:ilvl w:val="1"/>
          <w:numId w:val="12"/>
        </w:numPr>
        <w:spacing w:line="360" w:lineRule="auto"/>
        <w:ind w:firstLineChars="0"/>
        <w:rPr>
          <w:rFonts w:ascii="宋体" w:hAnsi="宋体"/>
          <w:sz w:val="24"/>
        </w:rPr>
      </w:pPr>
      <w:r>
        <w:rPr>
          <w:rFonts w:hint="eastAsia" w:ascii="宋体" w:hAnsi="宋体"/>
          <w:sz w:val="24"/>
        </w:rPr>
        <w:t>售后服务的形式：</w:t>
      </w:r>
    </w:p>
    <w:p>
      <w:pPr>
        <w:pStyle w:val="24"/>
        <w:numPr>
          <w:ilvl w:val="2"/>
          <w:numId w:val="12"/>
        </w:numPr>
        <w:spacing w:line="360" w:lineRule="auto"/>
        <w:ind w:firstLineChars="0"/>
        <w:rPr>
          <w:rFonts w:ascii="宋体" w:hAnsi="宋体"/>
          <w:sz w:val="24"/>
        </w:rPr>
      </w:pPr>
      <w:r>
        <w:rPr>
          <w:rFonts w:hint="eastAsia" w:ascii="宋体" w:hAnsi="宋体"/>
          <w:sz w:val="24"/>
        </w:rPr>
        <w:t>现场支持：项目验收后</w:t>
      </w:r>
      <w:r>
        <w:rPr>
          <w:rFonts w:ascii="宋体" w:hAnsi="宋体"/>
          <w:sz w:val="24"/>
        </w:rPr>
        <w:t>1</w:t>
      </w:r>
      <w:r>
        <w:rPr>
          <w:rFonts w:hint="eastAsia" w:ascii="宋体" w:hAnsi="宋体"/>
          <w:sz w:val="24"/>
        </w:rPr>
        <w:t>年内，投标人至少派工程师1名，响应医院系统的维护需求，要保证人员的稳定性，更换人员需即时通知医院。医院有权利要求更换维护人员。</w:t>
      </w:r>
    </w:p>
    <w:p>
      <w:pPr>
        <w:pStyle w:val="24"/>
        <w:numPr>
          <w:ilvl w:val="2"/>
          <w:numId w:val="12"/>
        </w:numPr>
        <w:spacing w:line="360" w:lineRule="auto"/>
        <w:ind w:firstLineChars="0"/>
        <w:rPr>
          <w:rFonts w:ascii="宋体" w:hAnsi="宋体"/>
          <w:sz w:val="24"/>
        </w:rPr>
      </w:pPr>
      <w:r>
        <w:rPr>
          <w:rFonts w:hint="eastAsia" w:ascii="宋体" w:hAnsi="宋体"/>
          <w:sz w:val="24"/>
        </w:rPr>
        <w:t>远程服务：医院允许投标人在现场人员不能排除故障时，授权通过电话线或VPN方式远程登录到院方网络系统进行免费的故障诊断和故障排除。</w:t>
      </w:r>
    </w:p>
    <w:p>
      <w:pPr>
        <w:pStyle w:val="24"/>
        <w:numPr>
          <w:ilvl w:val="2"/>
          <w:numId w:val="12"/>
        </w:numPr>
        <w:spacing w:line="360" w:lineRule="auto"/>
        <w:ind w:firstLineChars="0"/>
        <w:rPr>
          <w:rFonts w:ascii="宋体" w:hAnsi="宋体"/>
          <w:sz w:val="24"/>
        </w:rPr>
      </w:pPr>
      <w:r>
        <w:rPr>
          <w:rFonts w:hint="eastAsia" w:ascii="宋体" w:hAnsi="宋体"/>
          <w:sz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4"/>
        <w:numPr>
          <w:ilvl w:val="2"/>
          <w:numId w:val="12"/>
        </w:numPr>
        <w:spacing w:line="360" w:lineRule="auto"/>
        <w:ind w:firstLineChars="0"/>
        <w:rPr>
          <w:rFonts w:ascii="宋体" w:hAnsi="宋体"/>
          <w:sz w:val="24"/>
        </w:rPr>
      </w:pPr>
      <w:r>
        <w:rPr>
          <w:rFonts w:hint="eastAsia" w:ascii="宋体" w:hAnsi="宋体"/>
          <w:sz w:val="24"/>
        </w:rPr>
        <w:t>其他售后服务承诺：在系统实施及保修期内，院方提出对软件更改的合理要求，投标人应尽量予以满足。</w:t>
      </w:r>
    </w:p>
    <w:p>
      <w:pPr>
        <w:pStyle w:val="24"/>
        <w:numPr>
          <w:ilvl w:val="2"/>
          <w:numId w:val="12"/>
        </w:numPr>
        <w:spacing w:line="360" w:lineRule="auto"/>
        <w:ind w:firstLineChars="0"/>
        <w:rPr>
          <w:rFonts w:ascii="宋体" w:hAnsi="宋体"/>
          <w:sz w:val="24"/>
        </w:rPr>
      </w:pPr>
      <w:r>
        <w:rPr>
          <w:rFonts w:hint="eastAsia" w:ascii="宋体" w:hAnsi="宋体"/>
          <w:sz w:val="24"/>
        </w:rPr>
        <w:t>★系统软硬件保修要求:相关各医院需要采购的系统软件及硬件设备，其具体规格参数和数量以每家医院所在包件中所述为准；所有系统软硬件均必须原厂授权证明；主要硬件（如服务器、交换机等）必须提供至少3年5*</w:t>
      </w:r>
      <w:r>
        <w:rPr>
          <w:rFonts w:ascii="宋体" w:hAnsi="宋体"/>
          <w:sz w:val="24"/>
        </w:rPr>
        <w:t>8</w:t>
      </w:r>
      <w:r>
        <w:rPr>
          <w:rFonts w:hint="eastAsia" w:ascii="宋体" w:hAnsi="宋体"/>
          <w:sz w:val="24"/>
        </w:rPr>
        <w:t>售后服务、系统软件必须提供至少</w:t>
      </w:r>
      <w:r>
        <w:rPr>
          <w:rFonts w:ascii="宋体" w:hAnsi="宋体"/>
          <w:sz w:val="24"/>
        </w:rPr>
        <w:t>1</w:t>
      </w:r>
      <w:r>
        <w:rPr>
          <w:rFonts w:hint="eastAsia" w:ascii="宋体" w:hAnsi="宋体"/>
          <w:sz w:val="24"/>
        </w:rPr>
        <w:t>年</w:t>
      </w:r>
      <w:r>
        <w:rPr>
          <w:rFonts w:ascii="宋体" w:hAnsi="宋体"/>
          <w:sz w:val="24"/>
        </w:rPr>
        <w:t>5</w:t>
      </w:r>
      <w:r>
        <w:rPr>
          <w:rFonts w:hint="eastAsia" w:ascii="宋体" w:hAnsi="宋体"/>
          <w:sz w:val="24"/>
        </w:rPr>
        <w:t>*</w:t>
      </w:r>
      <w:r>
        <w:rPr>
          <w:rFonts w:ascii="宋体" w:hAnsi="宋体"/>
          <w:sz w:val="24"/>
        </w:rPr>
        <w:t>8</w:t>
      </w:r>
      <w:r>
        <w:rPr>
          <w:rFonts w:hint="eastAsia" w:ascii="宋体" w:hAnsi="宋体"/>
          <w:sz w:val="24"/>
        </w:rPr>
        <w:t>售后服务。</w:t>
      </w:r>
    </w:p>
    <w:p>
      <w:pPr>
        <w:pStyle w:val="24"/>
        <w:numPr>
          <w:ilvl w:val="0"/>
          <w:numId w:val="12"/>
        </w:numPr>
        <w:spacing w:line="360" w:lineRule="auto"/>
        <w:ind w:firstLineChars="0"/>
        <w:rPr>
          <w:rFonts w:ascii="宋体" w:hAnsi="宋体"/>
          <w:sz w:val="24"/>
        </w:rPr>
      </w:pPr>
      <w:r>
        <w:rPr>
          <w:rFonts w:hint="eastAsia" w:ascii="宋体" w:hAnsi="宋体"/>
          <w:sz w:val="24"/>
        </w:rPr>
        <w:t>项目验收</w:t>
      </w:r>
    </w:p>
    <w:p>
      <w:pPr>
        <w:pStyle w:val="24"/>
        <w:numPr>
          <w:ilvl w:val="1"/>
          <w:numId w:val="12"/>
        </w:numPr>
        <w:spacing w:line="360" w:lineRule="auto"/>
        <w:ind w:firstLineChars="0"/>
        <w:rPr>
          <w:rFonts w:ascii="宋体" w:hAnsi="宋体"/>
          <w:sz w:val="24"/>
        </w:rPr>
      </w:pPr>
      <w:r>
        <w:rPr>
          <w:rFonts w:hint="eastAsia" w:ascii="宋体" w:hAnsi="宋体"/>
          <w:sz w:val="24"/>
        </w:rPr>
        <w:t>系统验收合格的条件至少满足以下三个要求：试运行时性能满足合同要求；性能测试和试运行验收时出现的问题已被解决；已提供了合同的全部货和资料。所有子系统正式投入运行后进行软件系统验收。</w:t>
      </w:r>
    </w:p>
    <w:p>
      <w:pPr>
        <w:pStyle w:val="3"/>
        <w:rPr>
          <w:rFonts w:ascii="宋体" w:hAnsi="宋体" w:cs="宋体"/>
          <w:sz w:val="24"/>
        </w:rPr>
      </w:pPr>
    </w:p>
    <w:p>
      <w:pPr>
        <w:pStyle w:val="22"/>
        <w:rPr>
          <w:rFonts w:ascii="宋体" w:hAnsi="宋体" w:eastAsia="宋体" w:cs="宋体"/>
          <w:sz w:val="24"/>
          <w:szCs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numPr>
          <w:ilvl w:val="0"/>
          <w:numId w:val="8"/>
        </w:numPr>
        <w:rPr>
          <w:rFonts w:ascii="宋体" w:hAnsi="宋体" w:eastAsia="宋体" w:cs="宋体"/>
        </w:rPr>
      </w:pPr>
      <w:r>
        <w:rPr>
          <w:rFonts w:hint="eastAsia" w:ascii="宋体" w:hAnsi="宋体" w:eastAsia="宋体" w:cs="宋体"/>
        </w:rPr>
        <w:t>附件</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11</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pPr>
        <w:spacing w:line="360" w:lineRule="auto"/>
        <w:ind w:firstLine="360" w:firstLineChars="150"/>
        <w:rPr>
          <w:rFonts w:ascii="宋体"/>
          <w:sz w:val="24"/>
        </w:rPr>
      </w:pPr>
      <w:r>
        <w:rPr>
          <w:rFonts w:hint="eastAsia" w:ascii="宋体"/>
          <w:sz w:val="24"/>
        </w:rPr>
        <w:t>报价明细：</w:t>
      </w:r>
    </w:p>
    <w:p>
      <w:pPr>
        <w:pStyle w:val="14"/>
        <w:ind w:left="0" w:firstLine="0"/>
      </w:pPr>
    </w:p>
    <w:tbl>
      <w:tblPr>
        <w:tblStyle w:val="15"/>
        <w:tblpPr w:leftFromText="180" w:rightFromText="180" w:vertAnchor="text" w:horzAnchor="page" w:tblpX="1185" w:tblpY="328"/>
        <w:tblOverlap w:val="never"/>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02"/>
        <w:gridCol w:w="1037"/>
        <w:gridCol w:w="1088"/>
        <w:gridCol w:w="1057"/>
        <w:gridCol w:w="2091"/>
        <w:gridCol w:w="146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07" w:type="dxa"/>
            <w:vAlign w:val="center"/>
          </w:tcPr>
          <w:p>
            <w:pPr>
              <w:spacing w:after="120"/>
              <w:jc w:val="center"/>
              <w:rPr>
                <w:rFonts w:ascii="宋体" w:hAnsi="Calibri"/>
                <w:b/>
                <w:bCs/>
                <w:sz w:val="24"/>
              </w:rPr>
            </w:pPr>
            <w:r>
              <w:rPr>
                <w:rFonts w:hint="eastAsia" w:ascii="宋体" w:hAnsi="Calibri"/>
                <w:b/>
                <w:bCs/>
                <w:sz w:val="24"/>
              </w:rPr>
              <w:t>序号</w:t>
            </w:r>
          </w:p>
        </w:tc>
        <w:tc>
          <w:tcPr>
            <w:tcW w:w="1302" w:type="dxa"/>
            <w:vAlign w:val="center"/>
          </w:tcPr>
          <w:p>
            <w:pPr>
              <w:spacing w:after="120"/>
              <w:jc w:val="center"/>
              <w:rPr>
                <w:rFonts w:ascii="宋体" w:hAnsi="Calibri"/>
                <w:b/>
                <w:bCs/>
                <w:sz w:val="24"/>
              </w:rPr>
            </w:pPr>
            <w:r>
              <w:rPr>
                <w:rFonts w:hint="eastAsia" w:ascii="宋体" w:hAnsi="Calibri"/>
                <w:b/>
                <w:bCs/>
                <w:sz w:val="24"/>
              </w:rPr>
              <w:t>项目内容</w:t>
            </w:r>
          </w:p>
        </w:tc>
        <w:tc>
          <w:tcPr>
            <w:tcW w:w="1037" w:type="dxa"/>
            <w:vAlign w:val="center"/>
          </w:tcPr>
          <w:p>
            <w:pPr>
              <w:spacing w:after="120"/>
              <w:jc w:val="center"/>
              <w:rPr>
                <w:rFonts w:ascii="宋体" w:hAnsi="Calibri"/>
                <w:b/>
                <w:bCs/>
                <w:sz w:val="24"/>
              </w:rPr>
            </w:pPr>
            <w:r>
              <w:rPr>
                <w:rFonts w:hint="eastAsia" w:ascii="宋体" w:hAnsi="Calibri"/>
                <w:b/>
                <w:bCs/>
                <w:sz w:val="24"/>
              </w:rPr>
              <w:t>品牌</w:t>
            </w:r>
          </w:p>
        </w:tc>
        <w:tc>
          <w:tcPr>
            <w:tcW w:w="1088" w:type="dxa"/>
            <w:vAlign w:val="center"/>
          </w:tcPr>
          <w:p>
            <w:pPr>
              <w:spacing w:after="120"/>
              <w:jc w:val="center"/>
              <w:rPr>
                <w:rFonts w:ascii="宋体" w:hAnsi="Calibri"/>
                <w:b/>
                <w:bCs/>
                <w:sz w:val="24"/>
              </w:rPr>
            </w:pPr>
            <w:r>
              <w:rPr>
                <w:rFonts w:hint="eastAsia" w:ascii="宋体" w:hAnsi="Calibri"/>
                <w:b/>
                <w:bCs/>
                <w:sz w:val="24"/>
              </w:rPr>
              <w:t>型号</w:t>
            </w:r>
          </w:p>
        </w:tc>
        <w:tc>
          <w:tcPr>
            <w:tcW w:w="1057" w:type="dxa"/>
            <w:vAlign w:val="center"/>
          </w:tcPr>
          <w:p>
            <w:pPr>
              <w:spacing w:after="120"/>
              <w:jc w:val="center"/>
              <w:rPr>
                <w:rFonts w:ascii="宋体" w:hAnsi="Calibri"/>
                <w:b/>
                <w:bCs/>
                <w:sz w:val="24"/>
              </w:rPr>
            </w:pPr>
            <w:r>
              <w:rPr>
                <w:rFonts w:hint="eastAsia" w:ascii="宋体" w:hAnsi="Calibri"/>
                <w:b/>
                <w:bCs/>
                <w:sz w:val="24"/>
              </w:rPr>
              <w:t>数量</w:t>
            </w:r>
          </w:p>
        </w:tc>
        <w:tc>
          <w:tcPr>
            <w:tcW w:w="2091" w:type="dxa"/>
            <w:vAlign w:val="center"/>
          </w:tcPr>
          <w:p>
            <w:pPr>
              <w:spacing w:after="120"/>
              <w:jc w:val="center"/>
              <w:rPr>
                <w:rFonts w:ascii="宋体" w:hAnsi="Calibri"/>
                <w:b/>
                <w:bCs/>
                <w:sz w:val="24"/>
              </w:rPr>
            </w:pPr>
            <w:r>
              <w:rPr>
                <w:rFonts w:hint="eastAsia" w:ascii="宋体" w:hAnsi="Calibri"/>
                <w:b/>
                <w:bCs/>
                <w:sz w:val="24"/>
              </w:rPr>
              <w:t>投标金额（元）</w:t>
            </w:r>
          </w:p>
        </w:tc>
        <w:tc>
          <w:tcPr>
            <w:tcW w:w="1467" w:type="dxa"/>
            <w:vAlign w:val="center"/>
          </w:tcPr>
          <w:p>
            <w:pPr>
              <w:spacing w:after="120"/>
              <w:jc w:val="center"/>
              <w:rPr>
                <w:rFonts w:ascii="宋体" w:hAnsi="Calibri"/>
                <w:b/>
                <w:bCs/>
                <w:sz w:val="24"/>
              </w:rPr>
            </w:pPr>
            <w:r>
              <w:rPr>
                <w:rFonts w:hint="eastAsia" w:ascii="宋体" w:hAnsi="Calibri"/>
                <w:b/>
                <w:bCs/>
                <w:sz w:val="24"/>
              </w:rPr>
              <w:t>质保期</w:t>
            </w:r>
          </w:p>
        </w:tc>
        <w:tc>
          <w:tcPr>
            <w:tcW w:w="1467" w:type="dxa"/>
            <w:vAlign w:val="center"/>
          </w:tcPr>
          <w:p>
            <w:pPr>
              <w:spacing w:after="120"/>
              <w:jc w:val="center"/>
              <w:rPr>
                <w:rFonts w:ascii="宋体" w:hAnsi="Calibri"/>
                <w:b/>
                <w:bCs/>
                <w:sz w:val="24"/>
              </w:rPr>
            </w:pPr>
            <w:r>
              <w:rPr>
                <w:rFonts w:hint="eastAsia" w:ascii="宋体" w:hAnsi="Calibri"/>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bottom w:val="single" w:color="auto" w:sz="4" w:space="0"/>
            </w:tcBorders>
            <w:vAlign w:val="center"/>
          </w:tcPr>
          <w:p>
            <w:pPr>
              <w:spacing w:after="120"/>
              <w:jc w:val="center"/>
              <w:rPr>
                <w:rFonts w:ascii="宋体" w:hAnsi="Calibri"/>
                <w:b/>
                <w:bCs/>
                <w:sz w:val="24"/>
              </w:rPr>
            </w:pPr>
          </w:p>
        </w:tc>
        <w:tc>
          <w:tcPr>
            <w:tcW w:w="1302" w:type="dxa"/>
            <w:tcBorders>
              <w:bottom w:val="single" w:color="auto" w:sz="4" w:space="0"/>
            </w:tcBorders>
            <w:vAlign w:val="center"/>
          </w:tcPr>
          <w:p>
            <w:pPr>
              <w:spacing w:after="120"/>
              <w:ind w:left="420" w:leftChars="200" w:firstLine="420"/>
              <w:jc w:val="center"/>
              <w:rPr>
                <w:rFonts w:ascii="宋体" w:hAnsi="Calibri"/>
                <w:b/>
                <w:bCs/>
                <w:sz w:val="24"/>
              </w:rPr>
            </w:pPr>
          </w:p>
        </w:tc>
        <w:tc>
          <w:tcPr>
            <w:tcW w:w="1037" w:type="dxa"/>
            <w:tcBorders>
              <w:bottom w:val="single" w:color="auto" w:sz="4" w:space="0"/>
            </w:tcBorders>
            <w:vAlign w:val="center"/>
          </w:tcPr>
          <w:p>
            <w:pPr>
              <w:spacing w:after="120"/>
              <w:ind w:left="420" w:leftChars="200" w:firstLine="420"/>
              <w:jc w:val="center"/>
              <w:rPr>
                <w:rFonts w:ascii="宋体" w:hAnsi="Calibri"/>
                <w:b/>
                <w:bCs/>
                <w:sz w:val="24"/>
              </w:rPr>
            </w:pPr>
          </w:p>
        </w:tc>
        <w:tc>
          <w:tcPr>
            <w:tcW w:w="1088" w:type="dxa"/>
            <w:tcBorders>
              <w:bottom w:val="single" w:color="auto" w:sz="4" w:space="0"/>
            </w:tcBorders>
            <w:vAlign w:val="center"/>
          </w:tcPr>
          <w:p>
            <w:pPr>
              <w:spacing w:after="120"/>
              <w:ind w:left="420" w:leftChars="200" w:firstLine="420"/>
              <w:jc w:val="center"/>
              <w:rPr>
                <w:rFonts w:ascii="宋体" w:hAnsi="Calibri"/>
                <w:b/>
                <w:bCs/>
                <w:sz w:val="24"/>
              </w:rPr>
            </w:pPr>
          </w:p>
        </w:tc>
        <w:tc>
          <w:tcPr>
            <w:tcW w:w="1057" w:type="dxa"/>
            <w:tcBorders>
              <w:bottom w:val="single" w:color="auto" w:sz="4" w:space="0"/>
            </w:tcBorders>
            <w:vAlign w:val="center"/>
          </w:tcPr>
          <w:p>
            <w:pPr>
              <w:spacing w:after="120"/>
              <w:ind w:left="420" w:leftChars="200" w:firstLine="420"/>
              <w:jc w:val="center"/>
              <w:rPr>
                <w:rFonts w:ascii="宋体" w:hAnsi="Calibri"/>
                <w:b/>
                <w:bCs/>
                <w:sz w:val="24"/>
              </w:rPr>
            </w:pPr>
          </w:p>
        </w:tc>
        <w:tc>
          <w:tcPr>
            <w:tcW w:w="2091"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top w:val="single" w:color="auto" w:sz="4" w:space="0"/>
              <w:left w:val="single" w:color="auto" w:sz="4" w:space="0"/>
            </w:tcBorders>
            <w:vAlign w:val="center"/>
          </w:tcPr>
          <w:p>
            <w:pPr>
              <w:spacing w:after="120"/>
              <w:ind w:left="420" w:leftChars="200" w:firstLine="420"/>
              <w:jc w:val="center"/>
              <w:rPr>
                <w:rFonts w:ascii="宋体" w:hAnsi="Calibri"/>
                <w:b/>
                <w:bCs/>
                <w:sz w:val="24"/>
              </w:rPr>
            </w:pPr>
          </w:p>
        </w:tc>
        <w:tc>
          <w:tcPr>
            <w:tcW w:w="1302" w:type="dxa"/>
            <w:tcBorders>
              <w:top w:val="single" w:color="auto" w:sz="4" w:space="0"/>
            </w:tcBorders>
            <w:vAlign w:val="center"/>
          </w:tcPr>
          <w:p>
            <w:pPr>
              <w:spacing w:after="120"/>
              <w:ind w:left="420" w:leftChars="200" w:firstLine="420"/>
              <w:jc w:val="center"/>
              <w:rPr>
                <w:rFonts w:ascii="宋体" w:hAnsi="Calibri"/>
                <w:b/>
                <w:bCs/>
                <w:sz w:val="24"/>
              </w:rPr>
            </w:pPr>
          </w:p>
        </w:tc>
        <w:tc>
          <w:tcPr>
            <w:tcW w:w="1037" w:type="dxa"/>
            <w:tcBorders>
              <w:top w:val="single" w:color="auto" w:sz="4" w:space="0"/>
            </w:tcBorders>
            <w:vAlign w:val="center"/>
          </w:tcPr>
          <w:p>
            <w:pPr>
              <w:spacing w:after="120"/>
              <w:ind w:left="420" w:leftChars="200" w:firstLine="420"/>
              <w:jc w:val="center"/>
              <w:rPr>
                <w:rFonts w:ascii="宋体" w:hAnsi="Calibri"/>
                <w:b/>
                <w:bCs/>
                <w:sz w:val="24"/>
              </w:rPr>
            </w:pPr>
          </w:p>
        </w:tc>
        <w:tc>
          <w:tcPr>
            <w:tcW w:w="1088" w:type="dxa"/>
            <w:tcBorders>
              <w:top w:val="single" w:color="auto" w:sz="4" w:space="0"/>
            </w:tcBorders>
            <w:vAlign w:val="center"/>
          </w:tcPr>
          <w:p>
            <w:pPr>
              <w:spacing w:after="120"/>
              <w:ind w:left="420" w:leftChars="200" w:firstLine="420"/>
              <w:jc w:val="center"/>
              <w:rPr>
                <w:rFonts w:ascii="宋体" w:hAnsi="Calibri"/>
                <w:b/>
                <w:bCs/>
                <w:sz w:val="24"/>
              </w:rPr>
            </w:pPr>
          </w:p>
        </w:tc>
        <w:tc>
          <w:tcPr>
            <w:tcW w:w="105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left w:val="single" w:color="auto" w:sz="4" w:space="0"/>
            </w:tcBorders>
            <w:vAlign w:val="center"/>
          </w:tcPr>
          <w:p>
            <w:pPr>
              <w:spacing w:after="120"/>
              <w:ind w:left="420" w:leftChars="200" w:firstLine="420"/>
              <w:jc w:val="center"/>
              <w:rPr>
                <w:rFonts w:ascii="宋体" w:hAnsi="Calibri"/>
                <w:b/>
                <w:bCs/>
                <w:sz w:val="24"/>
              </w:rPr>
            </w:pPr>
          </w:p>
        </w:tc>
        <w:tc>
          <w:tcPr>
            <w:tcW w:w="1302" w:type="dxa"/>
            <w:vAlign w:val="center"/>
          </w:tcPr>
          <w:p>
            <w:pPr>
              <w:spacing w:after="120"/>
              <w:ind w:left="420" w:leftChars="200" w:firstLine="420"/>
              <w:jc w:val="center"/>
              <w:rPr>
                <w:rFonts w:ascii="宋体" w:hAnsi="Calibri"/>
                <w:b/>
                <w:bCs/>
                <w:sz w:val="24"/>
              </w:rPr>
            </w:pPr>
          </w:p>
        </w:tc>
        <w:tc>
          <w:tcPr>
            <w:tcW w:w="1037" w:type="dxa"/>
            <w:vAlign w:val="center"/>
          </w:tcPr>
          <w:p>
            <w:pPr>
              <w:spacing w:after="120"/>
              <w:ind w:left="420" w:leftChars="200" w:firstLine="420"/>
              <w:jc w:val="center"/>
              <w:rPr>
                <w:rFonts w:ascii="宋体" w:hAnsi="Calibri"/>
                <w:b/>
                <w:bCs/>
                <w:sz w:val="24"/>
              </w:rPr>
            </w:pPr>
          </w:p>
        </w:tc>
        <w:tc>
          <w:tcPr>
            <w:tcW w:w="1088" w:type="dxa"/>
            <w:vAlign w:val="center"/>
          </w:tcPr>
          <w:p>
            <w:pPr>
              <w:spacing w:after="120"/>
              <w:ind w:left="420" w:leftChars="200" w:firstLine="420"/>
              <w:jc w:val="center"/>
              <w:rPr>
                <w:rFonts w:ascii="宋体" w:hAnsi="Calibri"/>
                <w:b/>
                <w:bCs/>
                <w:sz w:val="24"/>
              </w:rPr>
            </w:pPr>
          </w:p>
        </w:tc>
        <w:tc>
          <w:tcPr>
            <w:tcW w:w="1057" w:type="dxa"/>
            <w:tcBorders>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总价（元）：</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总价（大写）：</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bl>
    <w:p>
      <w:pPr>
        <w:pStyle w:val="14"/>
        <w:ind w:left="0" w:firstLine="0"/>
      </w:pPr>
    </w:p>
    <w:p>
      <w:pPr>
        <w:spacing w:line="360" w:lineRule="auto"/>
        <w:rPr>
          <w:rFonts w:ascii="宋体"/>
          <w:sz w:val="24"/>
        </w:rPr>
      </w:pPr>
    </w:p>
    <w:p>
      <w:pPr>
        <w:pStyle w:val="2"/>
        <w:ind w:firstLine="240"/>
        <w:rPr>
          <w:rFonts w:ascii="宋体"/>
          <w:sz w:val="24"/>
        </w:rPr>
      </w:pPr>
    </w:p>
    <w:p>
      <w:pPr>
        <w:pStyle w:val="2"/>
        <w:ind w:firstLine="0" w:firstLineChars="0"/>
        <w:rPr>
          <w:rFonts w:ascii="宋体"/>
          <w:sz w:val="24"/>
        </w:rPr>
      </w:pPr>
    </w:p>
    <w:p>
      <w:pPr>
        <w:spacing w:line="360" w:lineRule="auto"/>
        <w:ind w:firstLine="240" w:firstLineChars="100"/>
        <w:rPr>
          <w:rFonts w:ascii="宋体"/>
          <w:sz w:val="24"/>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4"/>
        <w:ind w:left="0" w:firstLine="0"/>
      </w:pPr>
    </w:p>
    <w:p>
      <w:pPr>
        <w:pStyle w:val="14"/>
        <w:ind w:left="0" w:firstLine="0"/>
      </w:pPr>
    </w:p>
    <w:p>
      <w:pPr>
        <w:jc w:val="left"/>
        <w:rPr>
          <w:rFonts w:ascii="宋体" w:hAnsi="宋体" w:cs="宋体"/>
          <w:sz w:val="24"/>
        </w:rPr>
      </w:pPr>
      <w:r>
        <w:rPr>
          <w:rFonts w:hint="eastAsia" w:ascii="宋体" w:hAnsi="宋体" w:cs="宋体"/>
          <w:sz w:val="24"/>
        </w:rPr>
        <w:t xml:space="preserve"> </w:t>
      </w: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5"/>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5"/>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5"/>
        <w:autoSpaceDE w:val="0"/>
        <w:autoSpaceDN w:val="0"/>
        <w:spacing w:before="120" w:after="120" w:line="240" w:lineRule="atLeast"/>
        <w:jc w:val="left"/>
        <w:rPr>
          <w:rFonts w:ascii="宋体" w:hAnsi="宋体" w:eastAsia="宋体" w:cs="宋体"/>
        </w:rPr>
      </w:pP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pPr>
    <w:r>
      <w:rPr>
        <w:sz w:val="18"/>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D05F72CD"/>
    <w:multiLevelType w:val="multilevel"/>
    <w:tmpl w:val="D05F72C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42E5C20"/>
    <w:multiLevelType w:val="singleLevel"/>
    <w:tmpl w:val="D42E5C20"/>
    <w:lvl w:ilvl="0" w:tentative="0">
      <w:start w:val="1"/>
      <w:numFmt w:val="decimal"/>
      <w:lvlText w:val="%1)"/>
      <w:lvlJc w:val="left"/>
      <w:pPr>
        <w:ind w:left="84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1BCF63"/>
    <w:multiLevelType w:val="singleLevel"/>
    <w:tmpl w:val="371BCF63"/>
    <w:lvl w:ilvl="0" w:tentative="0">
      <w:start w:val="1"/>
      <w:numFmt w:val="decimal"/>
      <w:suff w:val="space"/>
      <w:lvlText w:val="%1."/>
      <w:lvlJc w:val="left"/>
      <w:pPr>
        <w:ind w:left="-420"/>
      </w:pPr>
    </w:lvl>
  </w:abstractNum>
  <w:abstractNum w:abstractNumId="8">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D985AF7"/>
    <w:multiLevelType w:val="singleLevel"/>
    <w:tmpl w:val="6D985AF7"/>
    <w:lvl w:ilvl="0" w:tentative="0">
      <w:start w:val="1"/>
      <w:numFmt w:val="decimal"/>
      <w:lvlText w:val="%1)"/>
      <w:lvlJc w:val="left"/>
      <w:pPr>
        <w:ind w:left="845" w:hanging="425"/>
      </w:pPr>
      <w:rPr>
        <w:rFonts w:hint="default"/>
      </w:rPr>
    </w:lvl>
  </w:abstractNum>
  <w:abstractNum w:abstractNumId="11">
    <w:nsid w:val="7F9D757B"/>
    <w:multiLevelType w:val="multilevel"/>
    <w:tmpl w:val="7F9D75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5"/>
  </w:num>
  <w:num w:numId="9">
    <w:abstractNumId w:val="9"/>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265C46"/>
    <w:rsid w:val="002B3AA2"/>
    <w:rsid w:val="00871A3B"/>
    <w:rsid w:val="00946B48"/>
    <w:rsid w:val="00C13E2C"/>
    <w:rsid w:val="056C2D54"/>
    <w:rsid w:val="07CC3CE5"/>
    <w:rsid w:val="07FC03D1"/>
    <w:rsid w:val="07FF5C5B"/>
    <w:rsid w:val="085A7398"/>
    <w:rsid w:val="0CA93B2B"/>
    <w:rsid w:val="0D6D61B7"/>
    <w:rsid w:val="0DF728DE"/>
    <w:rsid w:val="0FE80FB7"/>
    <w:rsid w:val="0FEE35BB"/>
    <w:rsid w:val="167D3F07"/>
    <w:rsid w:val="17DB3911"/>
    <w:rsid w:val="207756F7"/>
    <w:rsid w:val="20DC0F2D"/>
    <w:rsid w:val="224D1A14"/>
    <w:rsid w:val="23B337CB"/>
    <w:rsid w:val="26312F73"/>
    <w:rsid w:val="2C7A2EB0"/>
    <w:rsid w:val="2E2456A8"/>
    <w:rsid w:val="31501BF3"/>
    <w:rsid w:val="354A2CD2"/>
    <w:rsid w:val="3EA96684"/>
    <w:rsid w:val="3FDC4CB6"/>
    <w:rsid w:val="4073414D"/>
    <w:rsid w:val="40B00C52"/>
    <w:rsid w:val="40C91709"/>
    <w:rsid w:val="4524248D"/>
    <w:rsid w:val="454229EF"/>
    <w:rsid w:val="4AAC1378"/>
    <w:rsid w:val="4C120A11"/>
    <w:rsid w:val="506131F5"/>
    <w:rsid w:val="57C22C9A"/>
    <w:rsid w:val="5F921471"/>
    <w:rsid w:val="61714136"/>
    <w:rsid w:val="65454341"/>
    <w:rsid w:val="6B2F17DE"/>
    <w:rsid w:val="6BB21032"/>
    <w:rsid w:val="6C0E74B9"/>
    <w:rsid w:val="6F741DC3"/>
    <w:rsid w:val="715A3434"/>
    <w:rsid w:val="77237D8A"/>
    <w:rsid w:val="77CE2688"/>
    <w:rsid w:val="79EA1EFB"/>
    <w:rsid w:val="7B904B1F"/>
    <w:rsid w:val="7BEE322B"/>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8"/>
    <w:unhideWhenUsed/>
    <w:qFormat/>
    <w:uiPriority w:val="99"/>
  </w:style>
  <w:style w:type="character" w:styleId="17">
    <w:name w:val="page number"/>
    <w:qFormat/>
    <w:uiPriority w:val="0"/>
  </w:style>
  <w:style w:type="character" w:styleId="18">
    <w:name w:val="FollowedHyperlink"/>
    <w:basedOn w:val="16"/>
    <w:qFormat/>
    <w:uiPriority w:val="0"/>
    <w:rPr>
      <w:color w:val="800080"/>
      <w:u w:val="single"/>
    </w:rPr>
  </w:style>
  <w:style w:type="character" w:styleId="19">
    <w:name w:val="Hyperlink"/>
    <w:unhideWhenUsed/>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ITB-0"/>
    <w:basedOn w:val="1"/>
    <w:qFormat/>
    <w:uiPriority w:val="0"/>
    <w:pPr>
      <w:adjustRightInd w:val="0"/>
      <w:jc w:val="center"/>
    </w:pPr>
    <w:rPr>
      <w:b/>
      <w:sz w:val="32"/>
      <w:szCs w:val="20"/>
    </w:rPr>
  </w:style>
  <w:style w:type="paragraph" w:customStyle="1" w:styleId="2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att"/>
    <w:basedOn w:val="1"/>
    <w:qFormat/>
    <w:uiPriority w:val="0"/>
    <w:pPr>
      <w:spacing w:line="360" w:lineRule="auto"/>
    </w:pPr>
    <w:rPr>
      <w:rFonts w:eastAsia="楷体_GB2312"/>
      <w:sz w:val="24"/>
      <w:szCs w:val="20"/>
    </w:rPr>
  </w:style>
  <w:style w:type="character" w:customStyle="1" w:styleId="26">
    <w:name w:val="批注框文本 字符"/>
    <w:basedOn w:val="16"/>
    <w:link w:val="9"/>
    <w:qFormat/>
    <w:uiPriority w:val="0"/>
    <w:rPr>
      <w:kern w:val="2"/>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30"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8311</Words>
  <Characters>8917</Characters>
  <Lines>72</Lines>
  <Paragraphs>20</Paragraphs>
  <TotalTime>0</TotalTime>
  <ScaleCrop>false</ScaleCrop>
  <LinksUpToDate>false</LinksUpToDate>
  <CharactersWithSpaces>9357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user</cp:lastModifiedBy>
  <dcterms:modified xsi:type="dcterms:W3CDTF">2022-12-12T07:30:51Z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948C9E9221F4482292AEA7355DE23444</vt:lpwstr>
  </property>
</Properties>
</file>