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sz w:val="60"/>
          <w:szCs w:val="60"/>
        </w:rPr>
      </w:pPr>
    </w:p>
    <w:p>
      <w:pPr>
        <w:pStyle w:val="10"/>
        <w:rPr>
          <w:rFonts w:ascii="宋体" w:hAnsi="宋体" w:eastAsia="宋体" w:cs="宋体"/>
          <w:sz w:val="60"/>
          <w:szCs w:val="60"/>
        </w:rPr>
      </w:pPr>
      <w:r>
        <w:rPr>
          <w:rFonts w:hint="eastAsia" w:ascii="宋体" w:hAnsi="宋体" w:eastAsia="宋体" w:cs="宋体"/>
          <w:sz w:val="60"/>
          <w:szCs w:val="60"/>
        </w:rPr>
        <w:t>上海市儿童医院</w:t>
      </w:r>
    </w:p>
    <w:p>
      <w:pPr>
        <w:pStyle w:val="10"/>
        <w:tabs>
          <w:tab w:val="center" w:pos="4479"/>
          <w:tab w:val="right" w:pos="8958"/>
        </w:tabs>
        <w:rPr>
          <w:rFonts w:ascii="宋体" w:hAnsi="宋体" w:eastAsia="宋体" w:cs="宋体"/>
          <w:sz w:val="40"/>
          <w:szCs w:val="40"/>
        </w:rPr>
      </w:pPr>
    </w:p>
    <w:p>
      <w:pPr>
        <w:pStyle w:val="10"/>
        <w:tabs>
          <w:tab w:val="center" w:pos="4479"/>
          <w:tab w:val="right" w:pos="8958"/>
        </w:tabs>
        <w:rPr>
          <w:rFonts w:ascii="宋体" w:hAnsi="宋体" w:eastAsia="宋体" w:cs="宋体"/>
          <w:sz w:val="40"/>
          <w:szCs w:val="40"/>
        </w:rPr>
      </w:pPr>
    </w:p>
    <w:p>
      <w:pPr>
        <w:pStyle w:val="10"/>
        <w:tabs>
          <w:tab w:val="center" w:pos="4479"/>
          <w:tab w:val="right" w:pos="8958"/>
        </w:tabs>
        <w:jc w:val="both"/>
        <w:rPr>
          <w:rFonts w:ascii="宋体" w:hAnsi="宋体" w:eastAsia="宋体" w:cs="宋体"/>
          <w:sz w:val="40"/>
          <w:szCs w:val="40"/>
        </w:rPr>
      </w:pPr>
    </w:p>
    <w:p>
      <w:pPr>
        <w:pStyle w:val="10"/>
        <w:tabs>
          <w:tab w:val="center" w:pos="4479"/>
          <w:tab w:val="right" w:pos="8958"/>
        </w:tabs>
        <w:rPr>
          <w:rFonts w:ascii="宋体" w:hAnsi="宋体" w:eastAsia="宋体" w:cs="宋体"/>
          <w:sz w:val="40"/>
          <w:szCs w:val="40"/>
        </w:rPr>
      </w:pPr>
    </w:p>
    <w:p>
      <w:pPr>
        <w:pStyle w:val="10"/>
        <w:tabs>
          <w:tab w:val="center" w:pos="4479"/>
          <w:tab w:val="right" w:pos="8958"/>
        </w:tabs>
        <w:rPr>
          <w:rFonts w:ascii="宋体" w:hAnsi="宋体" w:cs="宋体"/>
          <w:sz w:val="60"/>
          <w:szCs w:val="60"/>
        </w:rPr>
      </w:pPr>
      <w:r>
        <w:rPr>
          <w:rFonts w:hint="eastAsia" w:ascii="宋体" w:hAnsi="宋体" w:eastAsia="宋体" w:cs="宋体"/>
          <w:sz w:val="60"/>
          <w:szCs w:val="60"/>
        </w:rPr>
        <w:t>医用显示屏采购项目</w:t>
      </w:r>
    </w:p>
    <w:p>
      <w:pPr>
        <w:pStyle w:val="18"/>
        <w:spacing w:line="312" w:lineRule="atLeast"/>
        <w:jc w:val="both"/>
        <w:outlineLvl w:val="0"/>
        <w:rPr>
          <w:rFonts w:ascii="宋体" w:hAnsi="宋体" w:cs="宋体"/>
          <w:sz w:val="60"/>
          <w:szCs w:val="60"/>
        </w:rPr>
      </w:pPr>
    </w:p>
    <w:p>
      <w:pPr>
        <w:pStyle w:val="18"/>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pStyle w:val="2"/>
        <w:ind w:left="0" w:firstLine="0"/>
        <w:rPr>
          <w:rFonts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highlight w:val="none"/>
        </w:rPr>
      </w:pPr>
    </w:p>
    <w:p>
      <w:pPr>
        <w:tabs>
          <w:tab w:val="left" w:pos="3150"/>
        </w:tabs>
        <w:jc w:val="center"/>
        <w:rPr>
          <w:rFonts w:ascii="宋体" w:hAnsi="宋体" w:cs="宋体"/>
          <w:b/>
          <w:sz w:val="36"/>
          <w:szCs w:val="20"/>
          <w:highlight w:val="none"/>
        </w:rPr>
      </w:pPr>
      <w:r>
        <w:rPr>
          <w:rFonts w:hint="eastAsia" w:ascii="宋体" w:hAnsi="宋体" w:cs="宋体"/>
          <w:b/>
          <w:sz w:val="36"/>
          <w:szCs w:val="20"/>
          <w:highlight w:val="none"/>
        </w:rPr>
        <w:t>遴选编号：2022-ETLXXB-004</w:t>
      </w:r>
    </w:p>
    <w:p>
      <w:pPr>
        <w:pStyle w:val="10"/>
        <w:rPr>
          <w:rFonts w:ascii="宋体" w:hAnsi="宋体" w:eastAsia="宋体" w:cs="宋体"/>
          <w:sz w:val="36"/>
          <w:highlight w:val="none"/>
        </w:rPr>
      </w:pPr>
    </w:p>
    <w:p>
      <w:pPr>
        <w:pStyle w:val="10"/>
        <w:rPr>
          <w:rFonts w:ascii="宋体" w:hAnsi="宋体" w:eastAsia="宋体" w:cs="宋体"/>
          <w:sz w:val="36"/>
          <w:highlight w:val="none"/>
        </w:rPr>
      </w:pPr>
      <w:r>
        <w:rPr>
          <w:rFonts w:hint="eastAsia" w:ascii="宋体" w:hAnsi="宋体" w:eastAsia="宋体" w:cs="宋体"/>
          <w:sz w:val="36"/>
          <w:highlight w:val="none"/>
        </w:rPr>
        <w:t>2022年</w:t>
      </w:r>
      <w:r>
        <w:rPr>
          <w:rFonts w:hint="eastAsia" w:ascii="宋体" w:hAnsi="宋体" w:eastAsia="宋体" w:cs="宋体"/>
          <w:sz w:val="36"/>
          <w:highlight w:val="none"/>
          <w:lang w:val="en-US" w:eastAsia="zh-CN"/>
        </w:rPr>
        <w:t>06</w:t>
      </w:r>
      <w:r>
        <w:rPr>
          <w:rFonts w:hint="eastAsia" w:ascii="宋体" w:hAnsi="宋体" w:eastAsia="宋体" w:cs="宋体"/>
          <w:sz w:val="36"/>
          <w:highlight w:val="none"/>
        </w:rPr>
        <w:t>月</w:t>
      </w:r>
      <w:r>
        <w:rPr>
          <w:rFonts w:hint="eastAsia" w:ascii="宋体" w:hAnsi="宋体" w:eastAsia="宋体" w:cs="宋体"/>
          <w:sz w:val="36"/>
          <w:highlight w:val="none"/>
          <w:lang w:val="en-US" w:eastAsia="zh-CN"/>
        </w:rPr>
        <w:t>02</w:t>
      </w:r>
      <w:r>
        <w:rPr>
          <w:rFonts w:hint="eastAsia" w:ascii="宋体" w:hAnsi="宋体" w:eastAsia="宋体" w:cs="宋体"/>
          <w:sz w:val="36"/>
          <w:highlight w:val="none"/>
        </w:rPr>
        <w:t>日</w:t>
      </w:r>
    </w:p>
    <w:p>
      <w:pPr>
        <w:pStyle w:val="10"/>
        <w:rPr>
          <w:rFonts w:ascii="宋体" w:hAnsi="宋体" w:eastAsia="宋体" w:cs="宋体"/>
          <w:sz w:val="36"/>
          <w:highlight w:val="none"/>
        </w:rPr>
      </w:pPr>
    </w:p>
    <w:p>
      <w:pPr>
        <w:pStyle w:val="10"/>
        <w:jc w:val="both"/>
        <w:rPr>
          <w:rFonts w:ascii="宋体" w:hAnsi="宋体" w:eastAsia="宋体" w:cs="宋体"/>
          <w:sz w:val="36"/>
          <w:highlight w:val="none"/>
        </w:rPr>
      </w:pPr>
    </w:p>
    <w:p>
      <w:pPr>
        <w:pStyle w:val="19"/>
        <w:jc w:val="both"/>
        <w:rPr>
          <w:rFonts w:ascii="宋体" w:hAnsi="宋体" w:eastAsia="宋体" w:cs="宋体"/>
          <w:highlight w:val="none"/>
        </w:rPr>
      </w:pPr>
      <w:bookmarkStart w:id="0" w:name="_Toc78271168"/>
      <w:r>
        <w:rPr>
          <w:rFonts w:hint="eastAsia" w:ascii="宋体" w:hAnsi="宋体" w:eastAsia="宋体" w:cs="宋体"/>
          <w:highlight w:val="none"/>
        </w:rPr>
        <w:t xml:space="preserve">                 第一章 </w:t>
      </w:r>
      <w:r>
        <w:rPr>
          <w:rFonts w:hint="eastAsia" w:ascii="宋体" w:hAnsi="宋体" w:eastAsia="宋体" w:cs="宋体"/>
          <w:highlight w:val="none"/>
        </w:rPr>
        <w:tab/>
      </w:r>
      <w:r>
        <w:rPr>
          <w:rFonts w:hint="eastAsia" w:ascii="宋体" w:hAnsi="宋体" w:eastAsia="宋体" w:cs="宋体"/>
          <w:highlight w:val="none"/>
        </w:rPr>
        <w:t>遴选邀请</w:t>
      </w:r>
      <w:bookmarkEnd w:id="0"/>
    </w:p>
    <w:p>
      <w:pPr>
        <w:tabs>
          <w:tab w:val="left" w:pos="3150"/>
        </w:tabs>
        <w:rPr>
          <w:rFonts w:ascii="宋体" w:hAnsi="宋体" w:cs="宋体"/>
          <w:sz w:val="24"/>
          <w:highlight w:val="none"/>
        </w:rPr>
      </w:pPr>
      <w:r>
        <w:rPr>
          <w:rFonts w:hint="eastAsia" w:ascii="宋体" w:hAnsi="宋体" w:cs="宋体"/>
          <w:sz w:val="24"/>
          <w:highlight w:val="none"/>
        </w:rPr>
        <w:t>遴选编号：2022-ETLXXB-004</w:t>
      </w:r>
    </w:p>
    <w:p>
      <w:pPr>
        <w:pStyle w:val="20"/>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根据医院有关规定，经院主管部门批准，我院拟对医用显示屏采购项目现以院内遴选采购的方式就下列所提供的货物和相关服务进行采购。</w:t>
      </w:r>
    </w:p>
    <w:p>
      <w:pPr>
        <w:pStyle w:val="20"/>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12"/>
        <w:tblW w:w="7998" w:type="dxa"/>
        <w:tblInd w:w="777" w:type="dxa"/>
        <w:tblLayout w:type="autofit"/>
        <w:tblCellMar>
          <w:top w:w="0" w:type="dxa"/>
          <w:left w:w="108" w:type="dxa"/>
          <w:bottom w:w="0" w:type="dxa"/>
          <w:right w:w="108" w:type="dxa"/>
        </w:tblCellMar>
      </w:tblPr>
      <w:tblGrid>
        <w:gridCol w:w="1199"/>
        <w:gridCol w:w="2971"/>
        <w:gridCol w:w="1642"/>
        <w:gridCol w:w="2186"/>
      </w:tblGrid>
      <w:tr>
        <w:tblPrEx>
          <w:tblCellMar>
            <w:top w:w="0" w:type="dxa"/>
            <w:left w:w="108" w:type="dxa"/>
            <w:bottom w:w="0" w:type="dxa"/>
            <w:right w:w="108" w:type="dxa"/>
          </w:tblCellMar>
        </w:tblPrEx>
        <w:trPr>
          <w:trHeight w:val="561" w:hRule="exact"/>
        </w:trPr>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序号</w:t>
            </w:r>
          </w:p>
        </w:tc>
        <w:tc>
          <w:tcPr>
            <w:tcW w:w="2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项目名称</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数量</w:t>
            </w:r>
          </w:p>
        </w:tc>
        <w:tc>
          <w:tcPr>
            <w:tcW w:w="21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901" w:hRule="exact"/>
        </w:trPr>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w:t>
            </w:r>
          </w:p>
        </w:tc>
        <w:tc>
          <w:tcPr>
            <w:tcW w:w="29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医用显示屏采购</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1套</w:t>
            </w:r>
          </w:p>
        </w:tc>
        <w:tc>
          <w:tcPr>
            <w:tcW w:w="21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120,000.00</w:t>
            </w:r>
          </w:p>
        </w:tc>
      </w:tr>
    </w:tbl>
    <w:p>
      <w:pPr>
        <w:pStyle w:val="20"/>
        <w:autoSpaceDE w:val="0"/>
        <w:autoSpaceDN w:val="0"/>
        <w:spacing w:line="360" w:lineRule="exact"/>
        <w:ind w:left="105" w:leftChars="50" w:firstLine="360" w:firstLineChars="150"/>
        <w:jc w:val="left"/>
        <w:rPr>
          <w:rFonts w:ascii="宋体" w:hAnsi="宋体" w:eastAsia="宋体" w:cs="宋体"/>
          <w:sz w:val="24"/>
          <w:szCs w:val="24"/>
          <w:highlight w:val="none"/>
        </w:rPr>
      </w:pPr>
      <w:r>
        <w:rPr>
          <w:rFonts w:hint="eastAsia" w:ascii="宋体" w:hAnsi="宋体" w:eastAsia="宋体" w:cs="宋体"/>
          <w:sz w:val="24"/>
          <w:szCs w:val="24"/>
          <w:highlight w:val="none"/>
        </w:rPr>
        <w:t>说明：</w:t>
      </w:r>
      <w:r>
        <w:rPr>
          <w:rFonts w:hint="eastAsia" w:ascii="宋体" w:hAnsi="宋体" w:eastAsia="宋体" w:cs="宋体"/>
          <w:color w:val="FF0000"/>
          <w:sz w:val="24"/>
          <w:szCs w:val="24"/>
          <w:highlight w:val="none"/>
        </w:rPr>
        <w:t>1、超过预算的投标将被否决。</w:t>
      </w:r>
    </w:p>
    <w:p>
      <w:pPr>
        <w:pStyle w:val="20"/>
        <w:numPr>
          <w:ilvl w:val="0"/>
          <w:numId w:val="1"/>
        </w:numPr>
        <w:autoSpaceDE w:val="0"/>
        <w:autoSpaceDN w:val="0"/>
        <w:spacing w:line="360" w:lineRule="exact"/>
        <w:jc w:val="left"/>
        <w:rPr>
          <w:rFonts w:ascii="宋体" w:hAnsi="宋体" w:eastAsia="宋体" w:cs="宋体"/>
          <w:b/>
          <w:sz w:val="24"/>
          <w:szCs w:val="24"/>
          <w:highlight w:val="none"/>
        </w:rPr>
      </w:pPr>
      <w:bookmarkStart w:id="1" w:name="_Toc461613082"/>
      <w:bookmarkStart w:id="2" w:name="_Toc461613010"/>
      <w:r>
        <w:rPr>
          <w:rFonts w:hint="eastAsia" w:ascii="宋体" w:hAnsi="宋体" w:eastAsia="宋体" w:cs="宋体"/>
          <w:b/>
          <w:sz w:val="24"/>
          <w:szCs w:val="24"/>
          <w:highlight w:val="none"/>
        </w:rPr>
        <w:t>投标人资质要求：</w:t>
      </w:r>
    </w:p>
    <w:p>
      <w:pPr>
        <w:pStyle w:val="20"/>
        <w:numPr>
          <w:ilvl w:val="0"/>
          <w:numId w:val="2"/>
        </w:numPr>
        <w:autoSpaceDE w:val="0"/>
        <w:autoSpaceDN w:val="0"/>
        <w:spacing w:line="360" w:lineRule="exact"/>
        <w:ind w:left="425" w:leftChars="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投标人为具有合法经营资质的独立法人、其他组织；</w:t>
      </w:r>
    </w:p>
    <w:p>
      <w:pPr>
        <w:pStyle w:val="20"/>
        <w:numPr>
          <w:ilvl w:val="0"/>
          <w:numId w:val="2"/>
        </w:numPr>
        <w:autoSpaceDE w:val="0"/>
        <w:autoSpaceDN w:val="0"/>
        <w:spacing w:line="360" w:lineRule="exact"/>
        <w:ind w:left="425" w:leftChars="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投标人在参加采购活动前三年内，在经营活动中没有重大违法记录，并提交《无重大违法记录承诺书》</w:t>
      </w:r>
      <w:r>
        <w:rPr>
          <w:rFonts w:hint="eastAsia" w:ascii="宋体" w:hAnsi="宋体" w:eastAsia="宋体" w:cs="宋体"/>
          <w:sz w:val="24"/>
          <w:szCs w:val="24"/>
          <w:highlight w:val="none"/>
        </w:rPr>
        <w:t>（详见遴选文件中附件6）</w:t>
      </w:r>
      <w:r>
        <w:rPr>
          <w:rFonts w:hint="eastAsia" w:ascii="宋体" w:hAnsi="宋体" w:eastAsia="宋体" w:cs="宋体"/>
          <w:bCs/>
          <w:sz w:val="24"/>
          <w:szCs w:val="24"/>
          <w:highlight w:val="none"/>
        </w:rPr>
        <w:t>。</w:t>
      </w:r>
    </w:p>
    <w:p>
      <w:pPr>
        <w:pStyle w:val="20"/>
        <w:numPr>
          <w:ilvl w:val="0"/>
          <w:numId w:val="2"/>
        </w:numPr>
        <w:autoSpaceDE w:val="0"/>
        <w:autoSpaceDN w:val="0"/>
        <w:spacing w:line="360" w:lineRule="exact"/>
        <w:ind w:left="425" w:leftChars="0" w:firstLineChars="0"/>
        <w:jc w:val="left"/>
        <w:rPr>
          <w:rFonts w:ascii="宋体" w:hAnsi="宋体" w:eastAsia="宋体" w:cs="宋体"/>
          <w:b/>
          <w:sz w:val="24"/>
          <w:szCs w:val="24"/>
          <w:highlight w:val="none"/>
        </w:rPr>
      </w:pPr>
      <w:r>
        <w:rPr>
          <w:rFonts w:hint="eastAsia" w:ascii="宋体" w:hAnsi="宋体" w:eastAsia="宋体" w:cs="宋体"/>
          <w:bCs/>
          <w:sz w:val="24"/>
          <w:szCs w:val="24"/>
          <w:highlight w:val="none"/>
        </w:rPr>
        <w:t>投标人未被“信用中国”网站(www.creditchina.gov.cn)列入失信被执行人名单、重大税收违法案件当事人名单。</w:t>
      </w:r>
    </w:p>
    <w:p>
      <w:pPr>
        <w:pStyle w:val="20"/>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遴选响应文件要求</w:t>
      </w:r>
    </w:p>
    <w:p>
      <w:pPr>
        <w:pStyle w:val="20"/>
        <w:autoSpaceDE w:val="0"/>
        <w:autoSpaceDN w:val="0"/>
        <w:spacing w:line="360" w:lineRule="exact"/>
        <w:ind w:left="0" w:leftChars="0" w:firstLine="42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有兴趣的潜在投标人请于</w:t>
      </w:r>
      <w:r>
        <w:rPr>
          <w:rFonts w:hint="eastAsia" w:ascii="宋体" w:hAnsi="宋体" w:eastAsia="宋体" w:cs="宋体"/>
          <w:b/>
          <w:sz w:val="24"/>
          <w:szCs w:val="24"/>
          <w:highlight w:val="none"/>
        </w:rPr>
        <w:t>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02</w:t>
      </w:r>
      <w:r>
        <w:rPr>
          <w:rFonts w:hint="eastAsia" w:ascii="宋体" w:hAnsi="宋体" w:eastAsia="宋体" w:cs="宋体"/>
          <w:b/>
          <w:sz w:val="24"/>
          <w:szCs w:val="24"/>
          <w:highlight w:val="none"/>
        </w:rPr>
        <w:t>日起至2022年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09</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highlight w:val="none"/>
          <w:u w:val="single"/>
        </w:rPr>
        <w:t>“采购中心”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rPr>
        <w:t>（http://101.231.51.115:7070/defaultroot/modules/hospital/supplier/platform/login.jsp）若供应商平台注册中遇到问题，请致电刘昕工程师：13997840824。</w:t>
      </w:r>
    </w:p>
    <w:p>
      <w:pPr>
        <w:pStyle w:val="20"/>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highlight w:val="none"/>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0"/>
        <w:autoSpaceDE w:val="0"/>
        <w:autoSpaceDN w:val="0"/>
        <w:spacing w:line="360" w:lineRule="exact"/>
        <w:ind w:firstLine="0"/>
        <w:jc w:val="left"/>
        <w:rPr>
          <w:rFonts w:ascii="宋体" w:hAnsi="宋体" w:eastAsia="宋体" w:cs="宋体"/>
          <w:sz w:val="24"/>
          <w:szCs w:val="24"/>
          <w:highlight w:val="none"/>
        </w:rPr>
      </w:pPr>
    </w:p>
    <w:p>
      <w:pPr>
        <w:pStyle w:val="20"/>
        <w:autoSpaceDE w:val="0"/>
        <w:autoSpaceDN w:val="0"/>
        <w:spacing w:line="360" w:lineRule="exact"/>
        <w:ind w:firstLine="0"/>
        <w:jc w:val="left"/>
        <w:rPr>
          <w:rFonts w:ascii="宋体" w:hAnsi="宋体" w:eastAsia="宋体" w:cs="宋体"/>
          <w:sz w:val="24"/>
          <w:szCs w:val="24"/>
          <w:highlight w:val="none"/>
        </w:rPr>
      </w:pPr>
    </w:p>
    <w:p>
      <w:pPr>
        <w:pStyle w:val="20"/>
        <w:autoSpaceDE w:val="0"/>
        <w:autoSpaceDN w:val="0"/>
        <w:spacing w:line="360" w:lineRule="exact"/>
        <w:ind w:firstLine="0"/>
        <w:jc w:val="left"/>
        <w:rPr>
          <w:rFonts w:ascii="宋体" w:hAnsi="宋体" w:eastAsia="宋体" w:cs="宋体"/>
          <w:sz w:val="24"/>
          <w:szCs w:val="24"/>
          <w:highlight w:val="none"/>
        </w:rPr>
      </w:pPr>
    </w:p>
    <w:p>
      <w:pPr>
        <w:pStyle w:val="20"/>
        <w:autoSpaceDE w:val="0"/>
        <w:autoSpaceDN w:val="0"/>
        <w:spacing w:line="360" w:lineRule="exact"/>
        <w:ind w:firstLine="0"/>
        <w:jc w:val="left"/>
        <w:rPr>
          <w:rFonts w:ascii="宋体" w:hAnsi="宋体" w:eastAsia="宋体" w:cs="宋体"/>
          <w:sz w:val="24"/>
          <w:szCs w:val="24"/>
          <w:highlight w:val="none"/>
        </w:rPr>
      </w:pPr>
    </w:p>
    <w:p>
      <w:pPr>
        <w:pStyle w:val="20"/>
        <w:autoSpaceDE w:val="0"/>
        <w:autoSpaceDN w:val="0"/>
        <w:spacing w:line="360" w:lineRule="exact"/>
        <w:ind w:firstLine="0"/>
        <w:jc w:val="left"/>
        <w:rPr>
          <w:rFonts w:ascii="宋体" w:hAnsi="宋体" w:eastAsia="宋体" w:cs="宋体"/>
          <w:sz w:val="24"/>
          <w:szCs w:val="24"/>
          <w:highlight w:val="none"/>
        </w:rPr>
      </w:pPr>
    </w:p>
    <w:p>
      <w:pPr>
        <w:pStyle w:val="20"/>
        <w:autoSpaceDE w:val="0"/>
        <w:autoSpaceDN w:val="0"/>
        <w:spacing w:line="360" w:lineRule="exact"/>
        <w:ind w:left="0" w:leftChars="0" w:firstLine="42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13"/>
      <w:bookmarkStart w:id="4" w:name="_Toc461613085"/>
      <w:r>
        <w:rPr>
          <w:rFonts w:hint="eastAsia" w:ascii="宋体" w:hAnsi="宋体" w:eastAsia="宋体" w:cs="宋体"/>
          <w:sz w:val="24"/>
          <w:szCs w:val="24"/>
          <w:highlight w:val="none"/>
        </w:rPr>
        <w:t>；</w:t>
      </w:r>
    </w:p>
    <w:bookmarkEnd w:id="3"/>
    <w:bookmarkEnd w:id="4"/>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0"/>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6"/>
          <w:rFonts w:ascii="宋体"/>
          <w:szCs w:val="21"/>
          <w:highlight w:val="none"/>
        </w:rPr>
        <w:t>liyi@shchildren.com.cn</w:t>
      </w:r>
      <w:r>
        <w:rPr>
          <w:rStyle w:val="16"/>
          <w:rFonts w:ascii="宋体"/>
          <w:szCs w:val="21"/>
          <w:highlight w:val="none"/>
        </w:rPr>
        <w:fldChar w:fldCharType="end"/>
      </w:r>
      <w:r>
        <w:rPr>
          <w:rFonts w:hint="eastAsia" w:ascii="宋体" w:hAnsi="宋体" w:eastAsia="宋体" w:cs="宋体"/>
          <w:sz w:val="24"/>
          <w:szCs w:val="24"/>
          <w:highlight w:val="none"/>
        </w:rPr>
        <w:t>）。</w:t>
      </w:r>
    </w:p>
    <w:p>
      <w:pPr>
        <w:pStyle w:val="20"/>
        <w:autoSpaceDE w:val="0"/>
        <w:autoSpaceDN w:val="0"/>
        <w:spacing w:line="360" w:lineRule="exact"/>
        <w:ind w:left="424" w:leftChars="202" w:firstLine="0"/>
        <w:jc w:val="left"/>
        <w:rPr>
          <w:rFonts w:ascii="宋体" w:hAnsi="宋体" w:eastAsia="宋体" w:cs="宋体"/>
          <w:sz w:val="24"/>
          <w:szCs w:val="24"/>
          <w:highlight w:val="none"/>
        </w:rPr>
      </w:pPr>
      <w:r>
        <w:rPr>
          <w:rFonts w:hint="eastAsia" w:ascii="宋体" w:hAnsi="宋体" w:eastAsia="宋体" w:cs="宋体"/>
          <w:sz w:val="24"/>
          <w:szCs w:val="24"/>
          <w:highlight w:val="none"/>
        </w:rPr>
        <w:t>上海市儿童医院-采购中心</w:t>
      </w:r>
    </w:p>
    <w:p>
      <w:pPr>
        <w:pStyle w:val="20"/>
        <w:autoSpaceDE w:val="0"/>
        <w:autoSpaceDN w:val="0"/>
        <w:spacing w:line="360" w:lineRule="exact"/>
        <w:ind w:leftChars="200" w:firstLine="0"/>
        <w:rPr>
          <w:rFonts w:ascii="宋体" w:hAnsi="宋体" w:eastAsia="宋体" w:cs="宋体"/>
          <w:sz w:val="24"/>
          <w:szCs w:val="24"/>
          <w:highlight w:val="none"/>
        </w:rPr>
      </w:pPr>
      <w:bookmarkStart w:id="5" w:name="OLE_LINK16"/>
      <w:bookmarkStart w:id="6" w:name="OLE_LINK11"/>
      <w:r>
        <w:rPr>
          <w:rFonts w:hint="eastAsia" w:ascii="宋体" w:hAnsi="宋体" w:eastAsia="宋体" w:cs="宋体"/>
          <w:sz w:val="24"/>
          <w:szCs w:val="24"/>
          <w:highlight w:val="none"/>
        </w:rPr>
        <w:t>地址：</w:t>
      </w:r>
      <w:bookmarkStart w:id="7" w:name="OLE_LINK13"/>
      <w:r>
        <w:rPr>
          <w:rFonts w:hint="eastAsia" w:ascii="宋体" w:hAnsi="宋体" w:eastAsia="宋体" w:cs="宋体"/>
          <w:sz w:val="24"/>
          <w:szCs w:val="24"/>
          <w:highlight w:val="none"/>
        </w:rPr>
        <w:t>上海市普陀区泸定路355号1楼</w:t>
      </w:r>
    </w:p>
    <w:p>
      <w:pPr>
        <w:pStyle w:val="20"/>
        <w:autoSpaceDE w:val="0"/>
        <w:autoSpaceDN w:val="0"/>
        <w:spacing w:line="360" w:lineRule="exact"/>
        <w:ind w:leftChars="200" w:firstLine="0"/>
        <w:rPr>
          <w:rFonts w:ascii="宋体" w:hAnsi="宋体" w:eastAsia="宋体" w:cs="宋体"/>
          <w:sz w:val="24"/>
          <w:szCs w:val="24"/>
          <w:highlight w:val="none"/>
        </w:rPr>
      </w:pPr>
      <w:bookmarkStart w:id="8" w:name="OLE_LINK129"/>
      <w:r>
        <w:rPr>
          <w:rFonts w:hint="eastAsia" w:ascii="宋体" w:hAnsi="宋体" w:eastAsia="宋体" w:cs="宋体"/>
          <w:sz w:val="24"/>
          <w:szCs w:val="24"/>
          <w:highlight w:val="none"/>
        </w:rPr>
        <w:t>邮编：</w:t>
      </w:r>
      <w:bookmarkStart w:id="9" w:name="OLE_LINK17"/>
      <w:r>
        <w:rPr>
          <w:rFonts w:hint="eastAsia" w:ascii="宋体" w:hAnsi="宋体" w:eastAsia="宋体" w:cs="宋体"/>
          <w:sz w:val="24"/>
          <w:szCs w:val="24"/>
          <w:highlight w:val="none"/>
        </w:rPr>
        <w:t>200062</w:t>
      </w:r>
      <w:bookmarkEnd w:id="5"/>
      <w:bookmarkEnd w:id="8"/>
      <w:bookmarkEnd w:id="9"/>
    </w:p>
    <w:p>
      <w:pPr>
        <w:pStyle w:val="20"/>
        <w:autoSpaceDE w:val="0"/>
        <w:autoSpaceDN w:val="0"/>
        <w:spacing w:line="360" w:lineRule="exact"/>
        <w:ind w:leftChars="200" w:firstLine="0"/>
        <w:rPr>
          <w:rFonts w:ascii="宋体" w:hAnsi="宋体" w:eastAsia="宋体" w:cs="宋体"/>
          <w:sz w:val="24"/>
          <w:szCs w:val="24"/>
          <w:highlight w:val="none"/>
        </w:rPr>
      </w:pPr>
      <w:r>
        <w:rPr>
          <w:rFonts w:hint="eastAsia" w:ascii="宋体" w:hAnsi="宋体" w:eastAsia="宋体" w:cs="宋体"/>
          <w:sz w:val="24"/>
          <w:szCs w:val="24"/>
          <w:highlight w:val="none"/>
        </w:rPr>
        <w:t>电话：021-52974032</w:t>
      </w:r>
    </w:p>
    <w:bookmarkEnd w:id="6"/>
    <w:bookmarkEnd w:id="7"/>
    <w:p>
      <w:pPr>
        <w:autoSpaceDE w:val="0"/>
        <w:autoSpaceDN w:val="0"/>
        <w:spacing w:line="360" w:lineRule="exact"/>
        <w:ind w:left="1470" w:hanging="1050"/>
        <w:rPr>
          <w:rFonts w:ascii="宋体" w:hAnsi="宋体" w:cs="宋体"/>
          <w:sz w:val="24"/>
          <w:highlight w:val="none"/>
        </w:rPr>
      </w:pPr>
      <w:r>
        <w:rPr>
          <w:rFonts w:hint="eastAsia" w:ascii="宋体" w:hAnsi="宋体" w:cs="宋体"/>
          <w:sz w:val="24"/>
          <w:highlight w:val="none"/>
        </w:rPr>
        <w:t>联系人：李怡</w:t>
      </w:r>
    </w:p>
    <w:p>
      <w:pPr>
        <w:autoSpaceDE w:val="0"/>
        <w:autoSpaceDN w:val="0"/>
        <w:spacing w:line="360" w:lineRule="exact"/>
        <w:ind w:left="1470" w:hanging="1050"/>
        <w:rPr>
          <w:rFonts w:ascii="宋体" w:hAnsi="宋体" w:cs="宋体"/>
          <w:sz w:val="24"/>
          <w:highlight w:val="none"/>
        </w:rPr>
      </w:pPr>
      <w:r>
        <w:rPr>
          <w:rFonts w:hint="eastAsia" w:ascii="宋体" w:hAnsi="宋体" w:cs="宋体"/>
          <w:sz w:val="24"/>
          <w:highlight w:val="none"/>
        </w:rPr>
        <w:t>邮箱：</w:t>
      </w:r>
      <w:bookmarkEnd w:id="1"/>
      <w:bookmarkEnd w:id="2"/>
      <w:r>
        <w:rPr>
          <w:rFonts w:ascii="宋体"/>
          <w:szCs w:val="21"/>
          <w:highlight w:val="none"/>
        </w:rPr>
        <w:fldChar w:fldCharType="begin"/>
      </w:r>
      <w:r>
        <w:rPr>
          <w:rFonts w:ascii="宋体"/>
          <w:szCs w:val="21"/>
          <w:highlight w:val="none"/>
        </w:rPr>
        <w:instrText xml:space="preserve"> HYPERLINK "mailto:liyi@shchildren.com.cn" </w:instrText>
      </w:r>
      <w:r>
        <w:rPr>
          <w:rFonts w:ascii="宋体"/>
          <w:szCs w:val="21"/>
          <w:highlight w:val="none"/>
        </w:rPr>
        <w:fldChar w:fldCharType="separate"/>
      </w:r>
      <w:r>
        <w:rPr>
          <w:rStyle w:val="16"/>
          <w:rFonts w:ascii="宋体"/>
          <w:szCs w:val="21"/>
          <w:highlight w:val="none"/>
        </w:rPr>
        <w:t>liyi@shchildren.com.cn</w:t>
      </w:r>
      <w:r>
        <w:rPr>
          <w:rFonts w:ascii="宋体"/>
          <w:szCs w:val="21"/>
          <w:highlight w:val="none"/>
        </w:rPr>
        <w:fldChar w:fldCharType="end"/>
      </w:r>
    </w:p>
    <w:p>
      <w:pPr>
        <w:pStyle w:val="20"/>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20"/>
        <w:numPr>
          <w:ilvl w:val="0"/>
          <w:numId w:val="0"/>
        </w:numPr>
        <w:autoSpaceDE w:val="0"/>
        <w:autoSpaceDN w:val="0"/>
        <w:spacing w:line="360" w:lineRule="exact"/>
        <w:ind w:leftChars="0" w:firstLine="420" w:firstLineChars="0"/>
        <w:jc w:val="left"/>
        <w:rPr>
          <w:rFonts w:hint="eastAsia" w:ascii="宋体" w:hAnsi="宋体" w:eastAsia="宋体" w:cs="宋体"/>
          <w:color w:val="auto"/>
          <w:sz w:val="24"/>
          <w:szCs w:val="24"/>
          <w:highlight w:val="none"/>
          <w:u w:val="none"/>
          <w:lang w:eastAsia="zh-CN"/>
        </w:rPr>
      </w:pPr>
      <w:r>
        <w:rPr>
          <w:rFonts w:hint="eastAsia" w:ascii="宋体" w:hAnsi="宋体" w:eastAsia="宋体" w:cs="宋体"/>
          <w:sz w:val="24"/>
          <w:szCs w:val="24"/>
          <w:highlight w:val="none"/>
        </w:rPr>
        <w:t>根据疫情防控形</w:t>
      </w:r>
      <w:r>
        <w:rPr>
          <w:rFonts w:hint="eastAsia" w:ascii="宋体" w:hAnsi="宋体" w:eastAsia="宋体" w:cs="宋体"/>
          <w:color w:val="auto"/>
          <w:sz w:val="24"/>
          <w:szCs w:val="24"/>
          <w:highlight w:val="none"/>
        </w:rPr>
        <w:t>势变化和医院疫情防控要求，取消近期遴选项目的现场开标，欲参与遴选的投标公司请务必点击</w:t>
      </w:r>
      <w:r>
        <w:rPr>
          <w:rFonts w:hint="eastAsia" w:ascii="宋体" w:hAnsi="宋体" w:eastAsia="宋体" w:cs="宋体"/>
          <w:color w:val="auto"/>
          <w:sz w:val="24"/>
          <w:szCs w:val="24"/>
          <w:highlight w:val="none"/>
          <w:u w:val="single"/>
        </w:rPr>
        <w:t>https://www.wjx.top/vj/tvfyMRp.aspx</w:t>
      </w:r>
      <w:r>
        <w:rPr>
          <w:rFonts w:hint="eastAsia" w:ascii="宋体" w:hAnsi="宋体" w:eastAsia="宋体" w:cs="宋体"/>
          <w:color w:val="auto"/>
          <w:sz w:val="24"/>
          <w:szCs w:val="24"/>
          <w:highlight w:val="none"/>
          <w:u w:val="none"/>
          <w:lang w:eastAsia="zh-CN"/>
        </w:rPr>
        <w:t>，填写“</w:t>
      </w:r>
      <w:r>
        <w:rPr>
          <w:rFonts w:hint="eastAsia" w:ascii="宋体" w:hAnsi="宋体" w:eastAsia="宋体" w:cs="宋体"/>
          <w:color w:val="auto"/>
          <w:sz w:val="24"/>
          <w:szCs w:val="24"/>
          <w:highlight w:val="none"/>
          <w:u w:val="none"/>
          <w:lang w:val="en-US" w:eastAsia="zh-CN"/>
        </w:rPr>
        <w:t>上海市儿童医院供应商遴选报名表</w:t>
      </w:r>
      <w:r>
        <w:rPr>
          <w:rFonts w:hint="eastAsia" w:ascii="宋体" w:hAnsi="宋体" w:eastAsia="宋体" w:cs="宋体"/>
          <w:color w:val="auto"/>
          <w:sz w:val="24"/>
          <w:szCs w:val="24"/>
          <w:highlight w:val="none"/>
          <w:u w:val="none"/>
          <w:lang w:eastAsia="zh-CN"/>
        </w:rPr>
        <w:t>”并将遴选响应文件按要求密封后，于截止日期（2022年0</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none"/>
          <w:lang w:val="en-US" w:eastAsia="zh-CN"/>
        </w:rPr>
        <w:t>09</w:t>
      </w:r>
      <w:bookmarkStart w:id="10" w:name="_GoBack"/>
      <w:bookmarkEnd w:id="10"/>
      <w:r>
        <w:rPr>
          <w:rFonts w:hint="eastAsia" w:ascii="宋体" w:hAnsi="宋体" w:eastAsia="宋体" w:cs="宋体"/>
          <w:color w:val="auto"/>
          <w:sz w:val="24"/>
          <w:szCs w:val="24"/>
          <w:highlight w:val="none"/>
          <w:u w:val="none"/>
          <w:lang w:eastAsia="zh-CN"/>
        </w:rPr>
        <w:t>日北京时间17:00）前，快递至：上海市儿童医院泸定路355号1楼采购中心 联系人：李怡 13269250405</w:t>
      </w:r>
    </w:p>
    <w:p>
      <w:pPr>
        <w:pStyle w:val="20"/>
        <w:numPr>
          <w:ilvl w:val="0"/>
          <w:numId w:val="0"/>
        </w:numPr>
        <w:autoSpaceDE w:val="0"/>
        <w:autoSpaceDN w:val="0"/>
        <w:spacing w:line="360" w:lineRule="exact"/>
        <w:ind w:leftChars="0"/>
        <w:jc w:val="left"/>
        <w:rPr>
          <w:rFonts w:ascii="宋体" w:hAnsi="宋体" w:eastAsia="宋体" w:cs="宋体"/>
          <w:sz w:val="24"/>
          <w:szCs w:val="24"/>
          <w:highlight w:val="none"/>
        </w:rPr>
      </w:pPr>
      <w:r>
        <w:rPr>
          <w:rFonts w:hint="eastAsia" w:ascii="宋体" w:hAnsi="宋体" w:eastAsia="宋体" w:cs="宋体"/>
          <w:color w:val="auto"/>
          <w:sz w:val="24"/>
          <w:szCs w:val="24"/>
          <w:highlight w:val="none"/>
          <w:u w:val="single"/>
          <w:lang w:eastAsia="zh-CN"/>
        </w:rPr>
        <w:t>（为保证遴选响应文件在截止时间前到达，请务必提前寄出并及时跟踪物流信息。）</w:t>
      </w:r>
      <w:r>
        <w:rPr>
          <w:rFonts w:hint="eastAsia" w:ascii="宋体" w:hAnsi="宋体" w:eastAsia="宋体" w:cs="宋体"/>
          <w:sz w:val="24"/>
          <w:szCs w:val="24"/>
          <w:highlight w:val="none"/>
        </w:rPr>
        <w:t xml:space="preserve"> </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0"/>
        <w:numPr>
          <w:ilvl w:val="0"/>
          <w:numId w:val="4"/>
        </w:numPr>
        <w:autoSpaceDE w:val="0"/>
        <w:autoSpaceDN w:val="0"/>
        <w:spacing w:line="360" w:lineRule="exact"/>
        <w:ind w:left="425" w:leftChars="0" w:hanging="425" w:firstLineChars="0"/>
        <w:jc w:val="left"/>
        <w:rPr>
          <w:rFonts w:ascii="宋体" w:hAnsi="宋体" w:eastAsia="宋体" w:cs="宋体"/>
          <w:sz w:val="24"/>
          <w:szCs w:val="24"/>
        </w:rPr>
      </w:pPr>
      <w:r>
        <w:rPr>
          <w:rFonts w:hint="eastAsia" w:ascii="宋体" w:hAnsi="宋体" w:eastAsia="宋体" w:cs="宋体"/>
          <w:color w:val="FF0000"/>
          <w:sz w:val="24"/>
          <w:szCs w:val="24"/>
        </w:rPr>
        <w:t>遴选响应文件中不满足技术规格中加注</w:t>
      </w:r>
      <w:r>
        <w:rPr>
          <w:rFonts w:hint="eastAsia" w:ascii="宋体" w:hAnsi="宋体" w:eastAsia="宋体" w:cs="宋体"/>
          <w:color w:val="FF0000"/>
          <w:sz w:val="24"/>
        </w:rPr>
        <w:t>“★”</w:t>
      </w:r>
      <w:r>
        <w:rPr>
          <w:rFonts w:hint="eastAsia" w:ascii="宋体" w:hAnsi="宋体" w:eastAsia="宋体" w:cs="宋体"/>
          <w:color w:val="FF0000"/>
          <w:sz w:val="24"/>
          <w:szCs w:val="24"/>
        </w:rPr>
        <w:t>要求的视为投标无效</w:t>
      </w:r>
      <w:r>
        <w:rPr>
          <w:rFonts w:hint="eastAsia" w:ascii="宋体" w:hAnsi="宋体" w:eastAsia="宋体" w:cs="宋体"/>
          <w:color w:val="auto"/>
          <w:sz w:val="24"/>
          <w:szCs w:val="24"/>
        </w:rPr>
        <w:t>；</w:t>
      </w:r>
      <w:r>
        <w:rPr>
          <w:rFonts w:hint="eastAsia" w:ascii="宋体" w:hAnsi="宋体" w:eastAsia="宋体" w:cs="宋体"/>
          <w:sz w:val="24"/>
          <w:szCs w:val="24"/>
        </w:rPr>
        <w:t>“▲”号的为关键技术参数，对任一关键技术参数低于遴选文件要求，其技术得分为0分。</w:t>
      </w:r>
    </w:p>
    <w:p>
      <w:pPr>
        <w:pStyle w:val="20"/>
        <w:numPr>
          <w:ilvl w:val="0"/>
          <w:numId w:val="4"/>
        </w:numPr>
        <w:autoSpaceDE w:val="0"/>
        <w:autoSpaceDN w:val="0"/>
        <w:spacing w:line="360" w:lineRule="exact"/>
        <w:ind w:left="425" w:leftChars="0" w:hanging="425" w:firstLineChars="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49"/>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74"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289"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74" w:type="pct"/>
            <w:vAlign w:val="center"/>
          </w:tcPr>
          <w:p>
            <w:pPr>
              <w:spacing w:line="360" w:lineRule="auto"/>
              <w:jc w:val="left"/>
              <w:rPr>
                <w:rFonts w:ascii="宋体" w:hAnsi="宋体" w:cs="宋体"/>
                <w:b/>
                <w:spacing w:val="8"/>
                <w:kern w:val="0"/>
                <w:sz w:val="24"/>
              </w:rPr>
            </w:pPr>
            <w:r>
              <w:rPr>
                <w:rFonts w:hint="eastAsia" w:ascii="宋体" w:hAnsi="宋体"/>
                <w:sz w:val="24"/>
              </w:rPr>
              <w:t>3</w:t>
            </w:r>
            <w:r>
              <w:rPr>
                <w:rFonts w:ascii="宋体" w:hAnsi="宋体"/>
                <w:sz w:val="24"/>
              </w:rPr>
              <w:t>5</w:t>
            </w:r>
            <w:r>
              <w:rPr>
                <w:rFonts w:hint="eastAsia" w:ascii="宋体" w:hAnsi="宋体"/>
                <w:sz w:val="24"/>
              </w:rPr>
              <w:t>分</w:t>
            </w:r>
          </w:p>
        </w:tc>
        <w:tc>
          <w:tcPr>
            <w:tcW w:w="3289" w:type="pct"/>
            <w:vAlign w:val="center"/>
          </w:tcPr>
          <w:p>
            <w:pPr>
              <w:spacing w:line="360" w:lineRule="auto"/>
              <w:jc w:val="left"/>
              <w:rPr>
                <w:rFonts w:ascii="宋体" w:hAnsi="宋体"/>
                <w:sz w:val="24"/>
              </w:rPr>
            </w:pPr>
            <w:r>
              <w:rPr>
                <w:rFonts w:hint="eastAsia" w:ascii="宋体" w:hAnsi="宋体"/>
                <w:sz w:val="24"/>
              </w:rPr>
              <w:t>N＝3</w:t>
            </w:r>
            <w:r>
              <w:rPr>
                <w:rFonts w:ascii="宋体" w:hAnsi="宋体"/>
                <w:sz w:val="24"/>
              </w:rPr>
              <w:t>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6" w:type="pct"/>
          </w:tcPr>
          <w:p>
            <w:pPr>
              <w:spacing w:line="360" w:lineRule="auto"/>
              <w:ind w:left="-91"/>
              <w:jc w:val="left"/>
              <w:rPr>
                <w:rFonts w:ascii="宋体" w:hAnsi="宋体"/>
                <w:sz w:val="24"/>
              </w:rPr>
            </w:pPr>
            <w:r>
              <w:rPr>
                <w:rFonts w:hint="eastAsia" w:ascii="宋体" w:hAnsi="宋体"/>
                <w:sz w:val="24"/>
              </w:rPr>
              <w:t>二、商务部分</w:t>
            </w:r>
          </w:p>
        </w:tc>
        <w:tc>
          <w:tcPr>
            <w:tcW w:w="3863" w:type="pct"/>
            <w:gridSpan w:val="2"/>
            <w:vAlign w:val="center"/>
          </w:tcPr>
          <w:p>
            <w:pPr>
              <w:spacing w:line="360" w:lineRule="auto"/>
              <w:jc w:val="left"/>
              <w:rPr>
                <w:rFonts w:ascii="宋体" w:hAnsi="宋体"/>
                <w:sz w:val="24"/>
              </w:rPr>
            </w:pPr>
            <w:r>
              <w:rPr>
                <w:rFonts w:ascii="宋体" w:hAnsi="宋体"/>
                <w:sz w:val="24"/>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jc w:val="center"/>
        </w:trPr>
        <w:tc>
          <w:tcPr>
            <w:tcW w:w="1136" w:type="pct"/>
          </w:tcPr>
          <w:p>
            <w:pPr>
              <w:spacing w:line="360" w:lineRule="auto"/>
              <w:jc w:val="left"/>
              <w:rPr>
                <w:rFonts w:ascii="宋体" w:hAnsi="宋体"/>
                <w:sz w:val="24"/>
              </w:rPr>
            </w:pPr>
            <w:r>
              <w:rPr>
                <w:rFonts w:hint="eastAsia" w:ascii="宋体" w:hAnsi="宋体"/>
                <w:sz w:val="24"/>
              </w:rPr>
              <w:t>1、综合实力</w:t>
            </w:r>
          </w:p>
        </w:tc>
        <w:tc>
          <w:tcPr>
            <w:tcW w:w="574" w:type="pct"/>
            <w:vAlign w:val="center"/>
          </w:tcPr>
          <w:p>
            <w:pPr>
              <w:spacing w:line="360" w:lineRule="auto"/>
              <w:jc w:val="left"/>
              <w:rPr>
                <w:rFonts w:ascii="宋体" w:hAnsi="宋体"/>
                <w:sz w:val="24"/>
              </w:rPr>
            </w:pPr>
            <w:r>
              <w:rPr>
                <w:rFonts w:ascii="宋体" w:hAnsi="宋体"/>
                <w:sz w:val="24"/>
              </w:rPr>
              <w:t>5</w:t>
            </w:r>
            <w:r>
              <w:rPr>
                <w:rFonts w:hint="eastAsia" w:ascii="宋体" w:hAnsi="宋体"/>
                <w:sz w:val="24"/>
              </w:rPr>
              <w:t>分</w:t>
            </w:r>
          </w:p>
        </w:tc>
        <w:tc>
          <w:tcPr>
            <w:tcW w:w="3289" w:type="pct"/>
          </w:tcPr>
          <w:p>
            <w:pPr>
              <w:spacing w:line="360" w:lineRule="auto"/>
              <w:jc w:val="left"/>
              <w:rPr>
                <w:rFonts w:ascii="宋体" w:hAnsi="宋体"/>
                <w:sz w:val="24"/>
              </w:rPr>
            </w:pPr>
            <w:r>
              <w:rPr>
                <w:rFonts w:hint="eastAsia" w:ascii="宋体" w:hAnsi="宋体" w:cs="宋体"/>
                <w:color w:val="000000"/>
                <w:sz w:val="24"/>
              </w:rPr>
              <w:t>评审内容：1.根据投标人的注册资金、所获资质及荣誉、财务能力等综合评定（0-</w:t>
            </w:r>
            <w:r>
              <w:rPr>
                <w:rFonts w:ascii="宋体" w:hAnsi="宋体" w:cs="宋体"/>
                <w:color w:val="000000"/>
                <w:sz w:val="24"/>
              </w:rPr>
              <w:t>1</w:t>
            </w:r>
            <w:r>
              <w:rPr>
                <w:rFonts w:hint="eastAsia" w:ascii="宋体" w:hAnsi="宋体" w:cs="宋体"/>
                <w:color w:val="000000"/>
                <w:sz w:val="24"/>
              </w:rPr>
              <w:t>分）；2.投标设备品牌（0-2分）；</w:t>
            </w:r>
            <w:r>
              <w:rPr>
                <w:rFonts w:hint="eastAsia" w:ascii="宋体" w:hAnsi="宋体" w:cs="宋体"/>
                <w:color w:val="000000"/>
                <w:sz w:val="24"/>
                <w:lang w:val="en-US" w:eastAsia="zh-CN"/>
              </w:rPr>
              <w:t>3</w:t>
            </w:r>
            <w:r>
              <w:rPr>
                <w:rFonts w:hint="eastAsia" w:ascii="宋体" w:hAnsi="宋体" w:cs="宋体"/>
                <w:color w:val="000000"/>
                <w:sz w:val="24"/>
              </w:rPr>
              <w:t>.原厂具备ISO 13485、中国CCC强制安全认证，每提供一个得1分，最高得2分。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36" w:type="pct"/>
          </w:tcPr>
          <w:p>
            <w:pPr>
              <w:spacing w:line="360" w:lineRule="auto"/>
              <w:jc w:val="left"/>
              <w:rPr>
                <w:rFonts w:hint="eastAsia" w:ascii="宋体" w:hAnsi="宋体"/>
                <w:sz w:val="24"/>
              </w:rPr>
            </w:pPr>
            <w:r>
              <w:rPr>
                <w:rFonts w:hint="eastAsia" w:ascii="宋体" w:hAnsi="宋体"/>
                <w:sz w:val="24"/>
              </w:rPr>
              <w:t>2、类似项目经验</w:t>
            </w:r>
          </w:p>
        </w:tc>
        <w:tc>
          <w:tcPr>
            <w:tcW w:w="574" w:type="pct"/>
            <w:vAlign w:val="center"/>
          </w:tcPr>
          <w:p>
            <w:pPr>
              <w:spacing w:line="360" w:lineRule="auto"/>
              <w:jc w:val="left"/>
              <w:rPr>
                <w:rFonts w:hint="eastAsia" w:ascii="宋体" w:hAnsi="宋体" w:eastAsia="宋体" w:cs="宋体"/>
                <w:color w:val="000000"/>
                <w:sz w:val="24"/>
                <w:lang w:val="en-US" w:eastAsia="zh-CN"/>
              </w:rPr>
            </w:pPr>
            <w:r>
              <w:rPr>
                <w:rFonts w:hint="eastAsia" w:ascii="宋体" w:hAnsi="宋体" w:cs="宋体"/>
                <w:color w:val="000000"/>
                <w:sz w:val="24"/>
              </w:rPr>
              <w:t>5</w:t>
            </w:r>
            <w:r>
              <w:rPr>
                <w:rFonts w:hint="eastAsia" w:ascii="宋体" w:hAnsi="宋体" w:cs="宋体"/>
                <w:color w:val="000000"/>
                <w:sz w:val="24"/>
                <w:lang w:val="en-US" w:eastAsia="zh-CN"/>
              </w:rPr>
              <w:t>分</w:t>
            </w:r>
          </w:p>
        </w:tc>
        <w:tc>
          <w:tcPr>
            <w:tcW w:w="3289" w:type="pct"/>
          </w:tcPr>
          <w:p>
            <w:pPr>
              <w:spacing w:line="360" w:lineRule="auto"/>
              <w:rPr>
                <w:rFonts w:hint="default" w:ascii="宋体" w:hAnsi="宋体" w:eastAsia="宋体" w:cs="宋体"/>
                <w:color w:val="000000"/>
                <w:sz w:val="24"/>
                <w:lang w:val="en-US" w:eastAsia="zh-CN"/>
              </w:rPr>
            </w:pPr>
            <w:r>
              <w:rPr>
                <w:rFonts w:hint="eastAsia" w:ascii="宋体" w:hAnsi="宋体"/>
                <w:sz w:val="24"/>
              </w:rPr>
              <w:t>20</w:t>
            </w:r>
            <w:r>
              <w:rPr>
                <w:rFonts w:ascii="宋体" w:hAnsi="宋体"/>
                <w:sz w:val="24"/>
              </w:rPr>
              <w:t>20</w:t>
            </w:r>
            <w:r>
              <w:rPr>
                <w:rFonts w:hint="eastAsia" w:ascii="宋体" w:hAnsi="宋体"/>
                <w:sz w:val="24"/>
              </w:rPr>
              <w:t>年以来投标人承接的投标同型号产品类似相关业务经验证明(以合同佐证为准，复印件需体现合同的签约主体、项目名称及内容、产品型号、交付日期等合同要素的相关内容，否则不予认可)。</w:t>
            </w:r>
            <w:r>
              <w:rPr>
                <w:rFonts w:hint="eastAsia" w:ascii="宋体" w:hAnsi="宋体"/>
                <w:sz w:val="24"/>
                <w:lang w:val="en-US" w:eastAsia="zh-CN"/>
              </w:rPr>
              <w:t>每提供一份合同得1分，最高得5分。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36" w:type="pct"/>
          </w:tcPr>
          <w:p>
            <w:pPr>
              <w:spacing w:line="360" w:lineRule="auto"/>
              <w:jc w:val="left"/>
              <w:rPr>
                <w:rFonts w:ascii="宋体" w:hAnsi="宋体"/>
                <w:sz w:val="24"/>
              </w:rPr>
            </w:pPr>
            <w:r>
              <w:rPr>
                <w:rFonts w:ascii="宋体" w:hAnsi="宋体"/>
                <w:sz w:val="24"/>
              </w:rPr>
              <w:t>3</w:t>
            </w:r>
            <w:r>
              <w:rPr>
                <w:rFonts w:hint="eastAsia" w:ascii="宋体" w:hAnsi="宋体"/>
                <w:sz w:val="24"/>
              </w:rPr>
              <w:t>、优惠条件</w:t>
            </w:r>
          </w:p>
        </w:tc>
        <w:tc>
          <w:tcPr>
            <w:tcW w:w="574" w:type="pct"/>
            <w:vAlign w:val="center"/>
          </w:tcPr>
          <w:p>
            <w:pPr>
              <w:spacing w:line="360" w:lineRule="auto"/>
              <w:jc w:val="left"/>
              <w:rPr>
                <w:rFonts w:ascii="宋体" w:hAnsi="宋体" w:cs="宋体"/>
                <w:color w:val="000000"/>
                <w:sz w:val="24"/>
              </w:rPr>
            </w:pPr>
            <w:r>
              <w:rPr>
                <w:rFonts w:hint="eastAsia" w:ascii="宋体" w:hAnsi="宋体" w:cs="宋体"/>
                <w:color w:val="000000"/>
                <w:sz w:val="24"/>
              </w:rPr>
              <w:t>5分</w:t>
            </w:r>
          </w:p>
        </w:tc>
        <w:tc>
          <w:tcPr>
            <w:tcW w:w="3289" w:type="pct"/>
          </w:tcPr>
          <w:p>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pct"/>
          </w:tcPr>
          <w:p>
            <w:pPr>
              <w:spacing w:line="360" w:lineRule="auto"/>
              <w:ind w:left="-91"/>
              <w:jc w:val="left"/>
              <w:rPr>
                <w:rFonts w:ascii="宋体" w:hAnsi="宋体"/>
                <w:sz w:val="24"/>
              </w:rPr>
            </w:pPr>
            <w:r>
              <w:rPr>
                <w:rFonts w:hint="eastAsia" w:ascii="宋体" w:hAnsi="宋体"/>
                <w:sz w:val="24"/>
              </w:rPr>
              <w:t>三、技术部分</w:t>
            </w:r>
          </w:p>
        </w:tc>
        <w:tc>
          <w:tcPr>
            <w:tcW w:w="3863"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74" w:type="pct"/>
            <w:vAlign w:val="center"/>
          </w:tcPr>
          <w:p>
            <w:pPr>
              <w:spacing w:line="360" w:lineRule="auto"/>
              <w:jc w:val="left"/>
              <w:rPr>
                <w:rFonts w:ascii="宋体" w:hAnsi="宋体"/>
                <w:sz w:val="24"/>
              </w:rPr>
            </w:pPr>
            <w:r>
              <w:rPr>
                <w:rFonts w:hint="eastAsia" w:ascii="宋体" w:hAnsi="宋体"/>
                <w:sz w:val="24"/>
              </w:rPr>
              <w:t>40分</w:t>
            </w:r>
          </w:p>
        </w:tc>
        <w:tc>
          <w:tcPr>
            <w:tcW w:w="3289" w:type="pct"/>
            <w:vAlign w:val="center"/>
          </w:tcPr>
          <w:p>
            <w:pPr>
              <w:widowControl/>
              <w:spacing w:line="360" w:lineRule="auto"/>
              <w:rPr>
                <w:rFonts w:ascii="宋体" w:hAnsi="宋体"/>
                <w:sz w:val="24"/>
              </w:rPr>
            </w:pPr>
            <w:r>
              <w:rPr>
                <w:rFonts w:hint="eastAsia" w:ascii="宋体" w:hAnsi="宋体" w:cs="宋体"/>
                <w:sz w:val="24"/>
              </w:rPr>
              <w:t>投标设备的技术规格应满足第二章“货物需求一览表及技术规格”中所规定的要求。其中标注“▲”号的为关键技术参数，对任一关键技术参数低于招标文件要求或无技术支持资料的或技术支持资料无效的，其技术得分为0分；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6" w:type="pct"/>
          </w:tcPr>
          <w:p>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74" w:type="pct"/>
            <w:vAlign w:val="center"/>
          </w:tcPr>
          <w:p>
            <w:pPr>
              <w:spacing w:line="360" w:lineRule="auto"/>
              <w:jc w:val="left"/>
              <w:rPr>
                <w:rFonts w:ascii="宋体" w:hAnsi="宋体"/>
                <w:sz w:val="24"/>
              </w:rPr>
            </w:pPr>
            <w:r>
              <w:rPr>
                <w:rFonts w:hint="eastAsia" w:ascii="宋体" w:hAnsi="宋体"/>
                <w:sz w:val="24"/>
              </w:rPr>
              <w:t>10分</w:t>
            </w:r>
          </w:p>
        </w:tc>
        <w:tc>
          <w:tcPr>
            <w:tcW w:w="3289" w:type="pct"/>
            <w:vAlign w:val="center"/>
          </w:tcPr>
          <w:p>
            <w:pPr>
              <w:pStyle w:val="3"/>
              <w:ind w:left="-3"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0"/>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b/>
          <w:sz w:val="24"/>
          <w:szCs w:val="24"/>
        </w:rPr>
        <w:t>付款方式</w:t>
      </w:r>
    </w:p>
    <w:p>
      <w:pPr>
        <w:pStyle w:val="3"/>
        <w:numPr>
          <w:ilvl w:val="0"/>
          <w:numId w:val="5"/>
        </w:numPr>
        <w:ind w:left="425" w:leftChars="0" w:hanging="425" w:firstLineChars="0"/>
        <w:rPr>
          <w:rFonts w:hint="eastAsia"/>
          <w:kern w:val="0"/>
          <w:shd w:val="clear" w:color="auto" w:fill="auto"/>
        </w:rPr>
      </w:pPr>
      <w:r>
        <w:rPr>
          <w:rFonts w:hint="eastAsia"/>
          <w:kern w:val="0"/>
          <w:shd w:val="clear" w:color="auto" w:fill="auto"/>
        </w:rPr>
        <w:t>签订合同后支付总金额的30%；软件验收合格后支付60%；验收合格后开具总金额10%的银行保函或质保金后支付剩余款项。</w:t>
      </w:r>
    </w:p>
    <w:p>
      <w:pPr>
        <w:pStyle w:val="3"/>
        <w:numPr>
          <w:ilvl w:val="0"/>
          <w:numId w:val="5"/>
        </w:numPr>
        <w:ind w:left="425" w:leftChars="0" w:hanging="425" w:firstLineChars="0"/>
        <w:rPr>
          <w:kern w:val="0"/>
          <w:shd w:val="clear" w:color="auto" w:fill="auto"/>
        </w:rPr>
      </w:pPr>
      <w:r>
        <w:rPr>
          <w:rFonts w:hint="eastAsia"/>
          <w:kern w:val="0"/>
          <w:shd w:val="clear" w:color="auto" w:fill="auto"/>
        </w:rPr>
        <w:t>买方支付货款前，卖方须向买方开具数额相等的发票，买方据此付款。</w:t>
      </w:r>
    </w:p>
    <w:p>
      <w:pPr>
        <w:pStyle w:val="20"/>
        <w:autoSpaceDE w:val="0"/>
        <w:autoSpaceDN w:val="0"/>
        <w:spacing w:line="360" w:lineRule="exact"/>
        <w:ind w:left="0" w:firstLine="0"/>
        <w:jc w:val="left"/>
        <w:rPr>
          <w:rFonts w:ascii="宋体" w:hAnsi="宋体" w:eastAsia="宋体" w:cs="宋体"/>
          <w:sz w:val="24"/>
          <w:szCs w:val="24"/>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6"/>
        </w:numPr>
        <w:rPr>
          <w:rFonts w:ascii="宋体" w:hAnsi="宋体" w:eastAsia="宋体" w:cs="宋体"/>
        </w:rPr>
      </w:pPr>
      <w:r>
        <w:rPr>
          <w:rFonts w:hint="eastAsia" w:ascii="宋体" w:hAnsi="宋体" w:eastAsia="宋体" w:cs="宋体"/>
        </w:rPr>
        <w:t>货物需求一览表及技术规格</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7"/>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上海市儿童医院医用显示屏采购项目</w:t>
      </w:r>
    </w:p>
    <w:p>
      <w:pPr>
        <w:numPr>
          <w:ilvl w:val="0"/>
          <w:numId w:val="7"/>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numPr>
          <w:ilvl w:val="0"/>
          <w:numId w:val="7"/>
        </w:numPr>
        <w:spacing w:line="360" w:lineRule="auto"/>
      </w:pPr>
      <w:r>
        <w:rPr>
          <w:rFonts w:hint="eastAsia" w:ascii="宋体" w:hAnsi="宋体" w:cs="宋体"/>
          <w:b/>
          <w:sz w:val="24"/>
        </w:rPr>
        <w:t>参数要求：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90"/>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00" w:type="pct"/>
            <w:gridSpan w:val="3"/>
            <w:tcBorders>
              <w:top w:val="nil"/>
              <w:left w:val="nil"/>
              <w:bottom w:val="single" w:color="auto" w:sz="4" w:space="0"/>
              <w:right w:val="nil"/>
            </w:tcBorders>
            <w:vAlign w:val="center"/>
          </w:tcPr>
          <w:p>
            <w:pPr>
              <w:spacing w:line="360" w:lineRule="auto"/>
              <w:rPr>
                <w:rFonts w:ascii="宋体" w:hAnsi="宋体"/>
                <w:sz w:val="24"/>
              </w:rPr>
            </w:pPr>
            <w:r>
              <w:rPr>
                <w:rFonts w:ascii="宋体" w:hAnsi="宋体"/>
                <w:sz w:val="24"/>
              </w:rPr>
              <w:t>数量</w:t>
            </w:r>
            <w:r>
              <w:rPr>
                <w:rFonts w:hint="eastAsia" w:ascii="宋体" w:hAnsi="宋体"/>
                <w:sz w:val="24"/>
              </w:rPr>
              <w:t>：</w:t>
            </w:r>
            <w:r>
              <w:rPr>
                <w:rFonts w:ascii="宋体" w:hAnsi="宋体"/>
                <w:sz w:val="24"/>
              </w:rPr>
              <w:t>5M医用显示器对屏1套</w:t>
            </w:r>
            <w:r>
              <w:rPr>
                <w:rFonts w:hint="eastAsia" w:ascii="宋体" w:hAnsi="宋体"/>
                <w:sz w:val="24"/>
              </w:rPr>
              <w:t>（含2个5</w:t>
            </w:r>
            <w:r>
              <w:rPr>
                <w:rFonts w:ascii="宋体" w:hAnsi="宋体"/>
                <w:sz w:val="24"/>
              </w:rPr>
              <w:t>M显示器</w:t>
            </w:r>
            <w:r>
              <w:rPr>
                <w:rFonts w:hint="eastAsia" w:ascii="宋体" w:hAnsi="宋体"/>
                <w:sz w:val="24"/>
              </w:rPr>
              <w:t>）</w:t>
            </w:r>
          </w:p>
          <w:p>
            <w:pPr>
              <w:pStyle w:val="24"/>
              <w:spacing w:line="360" w:lineRule="auto"/>
              <w:ind w:left="-73" w:leftChars="-35" w:firstLine="0" w:firstLineChars="0"/>
              <w:rPr>
                <w:rFonts w:ascii="宋体" w:hAnsi="宋体"/>
                <w:sz w:val="24"/>
                <w:lang w:val="en-US"/>
              </w:rPr>
            </w:pPr>
            <w:r>
              <w:rPr>
                <w:rFonts w:ascii="宋体" w:hAnsi="宋体"/>
                <w:sz w:val="24"/>
                <w:lang w:val="en-US"/>
              </w:rPr>
              <w:t>技术规格及要求</w:t>
            </w:r>
            <w:r>
              <w:rPr>
                <w:rFonts w:hint="eastAsia" w:ascii="宋体" w:hAnsi="宋体"/>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序号</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项目</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ascii="宋体" w:hAnsi="宋体"/>
                <w:b/>
                <w:bCs/>
                <w:sz w:val="24"/>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品牌类型</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 xml:space="preserve">国际国内著名品牌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屏幕尺寸及技术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1.3英寸，TFT</w:t>
            </w:r>
            <w:r>
              <w:rPr>
                <w:rFonts w:ascii="宋体" w:hAnsi="宋体"/>
                <w:sz w:val="24"/>
              </w:rPr>
              <w:t xml:space="preserve"> AM LCD</w:t>
            </w:r>
            <w:r>
              <w:rPr>
                <w:rFonts w:hint="eastAsia" w:ascii="宋体" w:hAnsi="宋体"/>
                <w:sz w:val="24"/>
              </w:rPr>
              <w:t>双域IPS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外框及机架</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符合人体工程学设计，支持上下，仰俯，左右旋转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屏幕分辨率</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≥5百万像素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竖屏/横屏</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竖屏≥2560</w:t>
            </w:r>
            <w:r>
              <w:rPr>
                <w:rFonts w:ascii="宋体" w:hAnsi="宋体"/>
                <w:sz w:val="24"/>
              </w:rPr>
              <w:t>*</w:t>
            </w:r>
            <w:r>
              <w:rPr>
                <w:rFonts w:hint="eastAsia" w:ascii="宋体" w:hAnsi="宋体"/>
                <w:sz w:val="24"/>
              </w:rPr>
              <w:t>2048/横屏≥2048*2560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最大亮度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≥1225</w:t>
            </w:r>
            <w:r>
              <w:rPr>
                <w:rFonts w:ascii="宋体" w:hAnsi="宋体"/>
                <w:sz w:val="24"/>
              </w:rPr>
              <w:t>cd/m</w:t>
            </w:r>
            <w:r>
              <w:rPr>
                <w:rFonts w:ascii="宋体" w:hAnsi="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7</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校正亮度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恒定于500</w:t>
            </w:r>
            <w:r>
              <w:rPr>
                <w:rFonts w:ascii="宋体" w:hAnsi="宋体"/>
                <w:sz w:val="24"/>
              </w:rPr>
              <w:t xml:space="preserve"> cd/m</w:t>
            </w:r>
            <w:r>
              <w:rPr>
                <w:rFonts w:ascii="宋体" w:hAnsi="宋体"/>
                <w:sz w:val="24"/>
                <w:vertAlign w:val="superscript"/>
              </w:rPr>
              <w:t>2</w:t>
            </w:r>
            <w:r>
              <w:rPr>
                <w:rFonts w:hint="eastAsia" w:ascii="宋体" w:hAnsi="宋体"/>
                <w:sz w:val="24"/>
              </w:rPr>
              <w:t>，须提供书面证明材料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8</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暗室对比度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≥120</w:t>
            </w:r>
            <w:r>
              <w:rPr>
                <w:rFonts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9</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观察角度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6度</w:t>
            </w:r>
            <w:r>
              <w:rPr>
                <w:rFonts w:ascii="宋体" w:hAnsi="宋体"/>
                <w:sz w:val="24"/>
              </w:rPr>
              <w:t>(</w:t>
            </w:r>
            <w:r>
              <w:rPr>
                <w:rFonts w:hint="eastAsia" w:ascii="宋体" w:hAnsi="宋体"/>
                <w:sz w:val="24"/>
              </w:rPr>
              <w:t>水平</w:t>
            </w:r>
            <w:r>
              <w:rPr>
                <w:rFonts w:ascii="宋体" w:hAnsi="宋体"/>
                <w:sz w:val="24"/>
              </w:rPr>
              <w:t>/</w:t>
            </w:r>
            <w:r>
              <w:rPr>
                <w:rFonts w:hint="eastAsia" w:ascii="宋体" w:hAnsi="宋体"/>
                <w:sz w:val="24"/>
              </w:rPr>
              <w:t>垂直</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10</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反应时间</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rPr>
              <w:t>≤</w:t>
            </w:r>
            <w:r>
              <w:rPr>
                <w:rFonts w:ascii="宋体" w:hAnsi="宋体"/>
                <w:sz w:val="24"/>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灰阶数</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≥1024灰阶（查看表入：10/查看表出：12）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均匀亮度技术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具有均匀亮度技术，使显示屏整个区域达到均匀性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背光输出稳定性</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具有背光输出稳定性，保持长期的输出图像稳定性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14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单一像素均匀性</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具有单一像素均匀性技术，能够测量并调整每一个像素的亮度，消除屏幕噪点，提高图像的准确性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输入接口</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（双路</w:t>
            </w:r>
            <w:r>
              <w:rPr>
                <w:rFonts w:ascii="宋体" w:hAnsi="宋体"/>
                <w:sz w:val="24"/>
              </w:rPr>
              <w:t>DVI</w:t>
            </w:r>
            <w:r>
              <w:rPr>
                <w:rFonts w:hint="eastAsia" w:ascii="宋体" w:hAnsi="宋体"/>
                <w:sz w:val="24"/>
              </w:rPr>
              <w:t>-D） DisplayPort接口，支持大带宽，保证图形卡与显示器之间超快速传输数据，支持对系统使用简单的“即插即用”设置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亮度输出</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采用多点背光亮度传感器技术以及前置校准器。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r>
              <w:rPr>
                <w:rFonts w:ascii="宋体" w:hAnsi="宋体"/>
                <w:sz w:val="24"/>
              </w:rPr>
              <w:t>7</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DICOM</w:t>
            </w:r>
            <w:r>
              <w:rPr>
                <w:rFonts w:hint="eastAsia" w:ascii="宋体" w:hAnsi="宋体"/>
                <w:sz w:val="24"/>
              </w:rPr>
              <w:t>校正</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具备质控管理功能，具备在线以和本地DICOM输出测量及自动校准。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18</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集群管理</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可由用户自行设定监控终端，数量不限。并可通过监控终端监控网内所有显示设备的实时工作状态。（提供监控图像图）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ascii="宋体" w:hAnsi="宋体"/>
                <w:sz w:val="24"/>
              </w:rPr>
              <w:t>19</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终端自动报警</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当显示终端发生故障，或物理性能出现偏离，则可自动在故障终端以及监控设备上报警提示，并提示故障原因。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20</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故障自动排除</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可通过监控设备对故障终端进行故障诊断、故障报告及自动排除，以确保使用过程均符合医疗标准要求。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★21</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提供不可更改文本工作报告</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可根据用户要求定期出具不可更改文本的工作状态报告，作为质量管理、设备管理的参考，并可随时打印dicom校准曲线。作为医疗纠纷中被采信的举证文件。（须提供Dicom校准曲线图）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22</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勿打扰工作模式</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软件采用勿打扰工作模式，自动进行全网实时监控。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23</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远程支持</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可通过网络获得厂家的技术支持和软件升级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4</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配对技术</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具有配对技术将独立的二台显示屏成为高度相似的一对对屏，便利于临床读片需求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5</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售后服务</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完善的售后服务，原厂≥五年质保，保证校准亮度保持在500cd/m</w:t>
            </w:r>
            <w:r>
              <w:rPr>
                <w:rFonts w:hint="eastAsia" w:ascii="宋体" w:hAnsi="宋体"/>
                <w:sz w:val="24"/>
                <w:vertAlign w:val="superscript"/>
              </w:rPr>
              <w:t>2</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★26</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认证</w:t>
            </w:r>
          </w:p>
        </w:tc>
        <w:tc>
          <w:tcPr>
            <w:tcW w:w="353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原厂具备</w:t>
            </w:r>
            <w:r>
              <w:rPr>
                <w:rFonts w:ascii="宋体" w:hAnsi="宋体"/>
                <w:sz w:val="24"/>
              </w:rPr>
              <w:t>ISO 13485</w:t>
            </w:r>
            <w:r>
              <w:rPr>
                <w:rFonts w:hint="eastAsia" w:ascii="宋体" w:hAnsi="宋体"/>
                <w:sz w:val="24"/>
              </w:rPr>
              <w:t>、中国</w:t>
            </w:r>
            <w:r>
              <w:rPr>
                <w:rFonts w:ascii="宋体" w:hAnsi="宋体"/>
                <w:sz w:val="24"/>
              </w:rPr>
              <w:t>CCC</w:t>
            </w:r>
            <w:r>
              <w:rPr>
                <w:rFonts w:hint="eastAsia" w:ascii="宋体" w:hAnsi="宋体"/>
                <w:sz w:val="24"/>
              </w:rPr>
              <w:t>强制安全认证。符合发达国家及地区相关准入制要求标准。</w:t>
            </w:r>
          </w:p>
        </w:tc>
      </w:tr>
    </w:tbl>
    <w:p>
      <w:pPr>
        <w:pStyle w:val="2"/>
        <w:ind w:left="0" w:firstLine="0"/>
      </w:pPr>
    </w:p>
    <w:p>
      <w:pPr>
        <w:pStyle w:val="19"/>
        <w:jc w:val="both"/>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6"/>
        </w:numPr>
        <w:rPr>
          <w:rFonts w:ascii="宋体" w:hAnsi="宋体" w:eastAsia="宋体" w:cs="宋体"/>
        </w:rPr>
      </w:pPr>
      <w:r>
        <w:rPr>
          <w:rFonts w:hint="eastAsia" w:ascii="宋体" w:hAnsi="宋体" w:eastAsia="宋体" w:cs="宋体"/>
        </w:rPr>
        <w:t>附件</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hint="eastAsia" w:ascii="宋体"/>
          <w:sz w:val="24"/>
          <w:u w:val="single"/>
        </w:rP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-00</w:t>
      </w:r>
      <w:r>
        <w:rPr>
          <w:rFonts w:hint="eastAsia" w:ascii="宋体"/>
          <w:sz w:val="24"/>
          <w:u w:val="single"/>
        </w:rPr>
        <w:t xml:space="preserve">4 </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医用显示屏采购项目 </w:t>
      </w:r>
    </w:p>
    <w:p>
      <w:pPr>
        <w:spacing w:line="360" w:lineRule="auto"/>
        <w:ind w:firstLine="360" w:firstLineChars="150"/>
        <w:rPr>
          <w:rFonts w:ascii="宋体"/>
          <w:sz w:val="24"/>
        </w:rPr>
      </w:pPr>
      <w:r>
        <w:rPr>
          <w:rFonts w:hint="eastAsia" w:ascii="宋体"/>
          <w:sz w:val="24"/>
        </w:rPr>
        <w:t>报价明细：</w:t>
      </w:r>
    </w:p>
    <w:tbl>
      <w:tblPr>
        <w:tblStyle w:val="13"/>
        <w:tblpPr w:leftFromText="180" w:rightFromText="180" w:vertAnchor="text" w:horzAnchor="page" w:tblpX="1185" w:tblpY="328"/>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26"/>
        <w:gridCol w:w="1374"/>
        <w:gridCol w:w="845"/>
        <w:gridCol w:w="1112"/>
        <w:gridCol w:w="1150"/>
        <w:gridCol w:w="1100"/>
        <w:gridCol w:w="110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41" w:type="dxa"/>
            <w:vAlign w:val="center"/>
          </w:tcPr>
          <w:p>
            <w:pPr>
              <w:pStyle w:val="2"/>
              <w:ind w:left="0" w:firstLine="0"/>
              <w:jc w:val="center"/>
              <w:rPr>
                <w:rFonts w:hAnsi="Times New Roman"/>
                <w:shd w:val="clear" w:color="auto" w:fill="auto"/>
              </w:rPr>
            </w:pPr>
            <w:r>
              <w:rPr>
                <w:rFonts w:hint="eastAsia" w:hAnsi="Times New Roman"/>
                <w:shd w:val="clear" w:color="auto" w:fill="auto"/>
              </w:rPr>
              <w:t>序号</w:t>
            </w:r>
          </w:p>
        </w:tc>
        <w:tc>
          <w:tcPr>
            <w:tcW w:w="1726" w:type="dxa"/>
            <w:vAlign w:val="center"/>
          </w:tcPr>
          <w:p>
            <w:pPr>
              <w:pStyle w:val="2"/>
              <w:ind w:left="0" w:firstLine="0"/>
              <w:jc w:val="center"/>
              <w:rPr>
                <w:rFonts w:hAnsi="Times New Roman"/>
                <w:shd w:val="clear" w:color="auto" w:fill="auto"/>
              </w:rPr>
            </w:pPr>
            <w:r>
              <w:rPr>
                <w:rFonts w:hint="eastAsia" w:hAnsi="Times New Roman"/>
                <w:shd w:val="clear" w:color="auto" w:fill="auto"/>
              </w:rPr>
              <w:t>设备名称</w:t>
            </w:r>
          </w:p>
        </w:tc>
        <w:tc>
          <w:tcPr>
            <w:tcW w:w="1374" w:type="dxa"/>
            <w:vAlign w:val="center"/>
          </w:tcPr>
          <w:p>
            <w:pPr>
              <w:pStyle w:val="2"/>
              <w:ind w:left="0" w:firstLine="0"/>
              <w:jc w:val="center"/>
              <w:rPr>
                <w:rFonts w:hAnsi="Times New Roman"/>
                <w:shd w:val="clear" w:color="auto" w:fill="auto"/>
              </w:rPr>
            </w:pPr>
            <w:r>
              <w:rPr>
                <w:rFonts w:hint="eastAsia" w:hAnsi="Times New Roman"/>
                <w:shd w:val="clear" w:color="auto" w:fill="auto"/>
              </w:rPr>
              <w:t>规格型号</w:t>
            </w:r>
          </w:p>
        </w:tc>
        <w:tc>
          <w:tcPr>
            <w:tcW w:w="845" w:type="dxa"/>
            <w:vAlign w:val="center"/>
          </w:tcPr>
          <w:p>
            <w:pPr>
              <w:pStyle w:val="2"/>
              <w:ind w:left="0" w:firstLine="0"/>
              <w:jc w:val="center"/>
              <w:rPr>
                <w:rFonts w:hAnsi="Times New Roman"/>
                <w:shd w:val="clear" w:color="auto" w:fill="auto"/>
              </w:rPr>
            </w:pPr>
            <w:r>
              <w:rPr>
                <w:rFonts w:hint="eastAsia" w:hAnsi="Times New Roman"/>
                <w:shd w:val="clear" w:color="auto" w:fill="auto"/>
              </w:rPr>
              <w:t>数量</w:t>
            </w:r>
          </w:p>
        </w:tc>
        <w:tc>
          <w:tcPr>
            <w:tcW w:w="1112" w:type="dxa"/>
            <w:vAlign w:val="center"/>
          </w:tcPr>
          <w:p>
            <w:pPr>
              <w:pStyle w:val="2"/>
              <w:ind w:left="0" w:firstLine="0"/>
              <w:jc w:val="center"/>
              <w:rPr>
                <w:rFonts w:hAnsi="Times New Roman"/>
                <w:shd w:val="clear" w:color="auto" w:fill="auto"/>
              </w:rPr>
            </w:pPr>
            <w:r>
              <w:rPr>
                <w:rFonts w:hint="eastAsia" w:hAnsi="Times New Roman"/>
                <w:shd w:val="clear" w:color="auto" w:fill="auto"/>
              </w:rPr>
              <w:t>制造商名称</w:t>
            </w:r>
          </w:p>
        </w:tc>
        <w:tc>
          <w:tcPr>
            <w:tcW w:w="1150" w:type="dxa"/>
            <w:vAlign w:val="center"/>
          </w:tcPr>
          <w:p>
            <w:pPr>
              <w:pStyle w:val="2"/>
              <w:ind w:left="0" w:firstLine="0"/>
              <w:jc w:val="center"/>
              <w:rPr>
                <w:rFonts w:hAnsi="Times New Roman"/>
                <w:shd w:val="clear" w:color="auto" w:fill="auto"/>
              </w:rPr>
            </w:pPr>
            <w:r>
              <w:rPr>
                <w:rFonts w:hint="eastAsia" w:hAnsi="Times New Roman"/>
                <w:shd w:val="clear" w:color="auto" w:fill="auto"/>
              </w:rPr>
              <w:t>单价（元）</w:t>
            </w:r>
          </w:p>
        </w:tc>
        <w:tc>
          <w:tcPr>
            <w:tcW w:w="1100" w:type="dxa"/>
            <w:vAlign w:val="center"/>
          </w:tcPr>
          <w:p>
            <w:pPr>
              <w:pStyle w:val="2"/>
              <w:ind w:left="0" w:firstLine="0"/>
              <w:jc w:val="center"/>
              <w:rPr>
                <w:rFonts w:hAnsi="Times New Roman"/>
                <w:shd w:val="clear" w:color="auto" w:fill="auto"/>
              </w:rPr>
            </w:pPr>
            <w:r>
              <w:rPr>
                <w:rFonts w:hint="eastAsia" w:hAnsi="Times New Roman"/>
                <w:shd w:val="clear" w:color="auto" w:fill="auto"/>
              </w:rPr>
              <w:t>合计（元）</w:t>
            </w:r>
          </w:p>
        </w:tc>
        <w:tc>
          <w:tcPr>
            <w:tcW w:w="1100" w:type="dxa"/>
            <w:vAlign w:val="center"/>
          </w:tcPr>
          <w:p>
            <w:pPr>
              <w:pStyle w:val="2"/>
              <w:ind w:left="0" w:firstLine="0"/>
              <w:jc w:val="center"/>
              <w:rPr>
                <w:rFonts w:hAnsi="Times New Roman"/>
                <w:shd w:val="clear" w:color="auto" w:fill="auto"/>
              </w:rPr>
            </w:pPr>
            <w:r>
              <w:rPr>
                <w:rFonts w:hint="eastAsia" w:hAnsi="Times New Roman"/>
                <w:shd w:val="clear" w:color="auto" w:fill="auto"/>
              </w:rPr>
              <w:t>交货期</w:t>
            </w:r>
          </w:p>
        </w:tc>
        <w:tc>
          <w:tcPr>
            <w:tcW w:w="1067" w:type="dxa"/>
            <w:vAlign w:val="center"/>
          </w:tcPr>
          <w:p>
            <w:pPr>
              <w:pStyle w:val="2"/>
              <w:ind w:left="0" w:firstLine="0"/>
              <w:jc w:val="center"/>
              <w:rPr>
                <w:rFonts w:hAnsi="Times New Roman"/>
                <w:shd w:val="clear" w:color="auto" w:fill="auto"/>
              </w:rPr>
            </w:pPr>
            <w:r>
              <w:rPr>
                <w:rFonts w:hint="eastAsia" w:hAnsi="Times New Roman"/>
                <w:shd w:val="clear" w:color="auto" w:fil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ind w:left="0" w:firstLine="0"/>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shd w:val="clear" w:color="auto" w:fill="auto"/>
              </w:rPr>
            </w:pPr>
          </w:p>
        </w:tc>
        <w:tc>
          <w:tcPr>
            <w:tcW w:w="845" w:type="dxa"/>
            <w:vAlign w:val="center"/>
          </w:tcPr>
          <w:p>
            <w:pPr>
              <w:pStyle w:val="2"/>
              <w:jc w:val="center"/>
              <w:rPr>
                <w:rFonts w:hAnsi="Times New Roman"/>
                <w:shd w:val="clear" w:color="auto" w:fill="auto"/>
              </w:rPr>
            </w:pPr>
          </w:p>
        </w:tc>
        <w:tc>
          <w:tcPr>
            <w:tcW w:w="1112" w:type="dxa"/>
            <w:vAlign w:val="center"/>
          </w:tcPr>
          <w:p>
            <w:pPr>
              <w:pStyle w:val="2"/>
              <w:jc w:val="center"/>
              <w:rPr>
                <w:rFonts w:hAnsi="Times New Roman"/>
                <w:shd w:val="clear" w:color="auto" w:fill="auto"/>
              </w:rPr>
            </w:pPr>
          </w:p>
        </w:tc>
        <w:tc>
          <w:tcPr>
            <w:tcW w:w="115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100" w:type="dxa"/>
            <w:vAlign w:val="center"/>
          </w:tcPr>
          <w:p>
            <w:pPr>
              <w:pStyle w:val="2"/>
              <w:jc w:val="center"/>
              <w:rPr>
                <w:rFonts w:hAnsi="Times New Roman"/>
                <w:shd w:val="clear" w:color="auto" w:fill="auto"/>
              </w:rPr>
            </w:pPr>
          </w:p>
        </w:tc>
        <w:tc>
          <w:tcPr>
            <w:tcW w:w="1067" w:type="dxa"/>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总价（元）：</w:t>
            </w:r>
          </w:p>
        </w:tc>
        <w:tc>
          <w:tcPr>
            <w:tcW w:w="7748" w:type="dxa"/>
            <w:gridSpan w:val="7"/>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总价（大写）：</w:t>
            </w:r>
          </w:p>
        </w:tc>
        <w:tc>
          <w:tcPr>
            <w:tcW w:w="7748" w:type="dxa"/>
            <w:gridSpan w:val="7"/>
            <w:vAlign w:val="center"/>
          </w:tcPr>
          <w:p>
            <w:pPr>
              <w:pStyle w:val="2"/>
              <w:jc w:val="center"/>
              <w:rPr>
                <w:rFonts w:hAnsi="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备注：</w:t>
            </w:r>
          </w:p>
        </w:tc>
        <w:tc>
          <w:tcPr>
            <w:tcW w:w="7748" w:type="dxa"/>
            <w:gridSpan w:val="7"/>
            <w:vAlign w:val="center"/>
          </w:tcPr>
          <w:p>
            <w:pPr>
              <w:pStyle w:val="2"/>
              <w:jc w:val="center"/>
              <w:rPr>
                <w:rFonts w:hAnsi="Times New Roman"/>
                <w:shd w:val="clear" w:color="auto" w:fill="auto"/>
              </w:rPr>
            </w:pPr>
          </w:p>
        </w:tc>
      </w:tr>
    </w:tbl>
    <w:p>
      <w:pPr>
        <w:pStyle w:val="2"/>
        <w:ind w:left="0" w:firstLine="0"/>
      </w:pPr>
    </w:p>
    <w:p>
      <w:pPr>
        <w:pStyle w:val="2"/>
        <w:ind w:left="0" w:firstLine="0"/>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2"/>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2"/>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2"/>
        <w:autoSpaceDE w:val="0"/>
        <w:autoSpaceDN w:val="0"/>
        <w:spacing w:before="120" w:after="120" w:line="240" w:lineRule="atLeast"/>
        <w:jc w:val="left"/>
        <w:rPr>
          <w:rFonts w:ascii="宋体" w:hAnsi="宋体" w:eastAsia="宋体" w:cs="宋体"/>
        </w:rPr>
      </w:pP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rPr>
          <w:rFonts w:ascii="宋体" w:hAnsi="宋体"/>
          <w:sz w:val="24"/>
        </w:rPr>
      </w:pPr>
      <w:r>
        <w:rPr>
          <w:rFonts w:hint="eastAsia" w:ascii="宋体" w:hAnsi="宋体"/>
          <w:sz w:val="24"/>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firstLine="0"/>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BCF35"/>
    <w:multiLevelType w:val="singleLevel"/>
    <w:tmpl w:val="9D4BCF35"/>
    <w:lvl w:ilvl="0" w:tentative="0">
      <w:start w:val="1"/>
      <w:numFmt w:val="decimal"/>
      <w:lvlText w:val="%1)"/>
      <w:lvlJc w:val="left"/>
      <w:pPr>
        <w:ind w:left="425" w:hanging="425"/>
      </w:pPr>
      <w:rPr>
        <w:rFonts w:hint="default"/>
      </w:rPr>
    </w:lvl>
  </w:abstractNum>
  <w:abstractNum w:abstractNumId="1">
    <w:nsid w:val="DF66DF74"/>
    <w:multiLevelType w:val="singleLevel"/>
    <w:tmpl w:val="DF66DF74"/>
    <w:lvl w:ilvl="0" w:tentative="0">
      <w:start w:val="1"/>
      <w:numFmt w:val="decimal"/>
      <w:lvlText w:val="%1)"/>
      <w:lvlJc w:val="left"/>
      <w:pPr>
        <w:ind w:left="425" w:hanging="425"/>
      </w:pPr>
      <w:rPr>
        <w:rFonts w:hint="default"/>
      </w:rPr>
    </w:lvl>
  </w:abstractNum>
  <w:abstractNum w:abstractNumId="2">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9044A4"/>
    <w:multiLevelType w:val="singleLevel"/>
    <w:tmpl w:val="249044A4"/>
    <w:lvl w:ilvl="0" w:tentative="0">
      <w:start w:val="1"/>
      <w:numFmt w:val="decimal"/>
      <w:lvlText w:val="%1)"/>
      <w:lvlJc w:val="left"/>
      <w:pPr>
        <w:ind w:left="425" w:hanging="425"/>
      </w:pPr>
      <w:rPr>
        <w:rFonts w:hint="default"/>
        <w:b w:val="0"/>
        <w:bCs w:val="0"/>
      </w:rPr>
    </w:lvl>
  </w:abstractNum>
  <w:abstractNum w:abstractNumId="5">
    <w:nsid w:val="399E2DD7"/>
    <w:multiLevelType w:val="multilevel"/>
    <w:tmpl w:val="399E2DD7"/>
    <w:lvl w:ilvl="0" w:tentative="0">
      <w:start w:val="1"/>
      <w:numFmt w:val="decimal"/>
      <w:lvlText w:val="%1)"/>
      <w:lvlJc w:val="left"/>
      <w:pPr>
        <w:ind w:left="420"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4F968C7E"/>
    <w:multiLevelType w:val="singleLevel"/>
    <w:tmpl w:val="4F968C7E"/>
    <w:lvl w:ilvl="0" w:tentative="0">
      <w:start w:val="1"/>
      <w:numFmt w:val="chineseCounting"/>
      <w:suff w:val="nothing"/>
      <w:lvlText w:val="%1、"/>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MmY0MTAwOGFjOTBhMTI4YzljNTRjY2EzODJlYWUifQ=="/>
  </w:docVars>
  <w:rsids>
    <w:rsidRoot w:val="060A01FB"/>
    <w:rsid w:val="001722C4"/>
    <w:rsid w:val="001E3794"/>
    <w:rsid w:val="0029732A"/>
    <w:rsid w:val="00481313"/>
    <w:rsid w:val="005F4F69"/>
    <w:rsid w:val="006276D9"/>
    <w:rsid w:val="00E773B5"/>
    <w:rsid w:val="00FF099C"/>
    <w:rsid w:val="00FF313F"/>
    <w:rsid w:val="02FF7BF3"/>
    <w:rsid w:val="060A01FB"/>
    <w:rsid w:val="077C4D16"/>
    <w:rsid w:val="07FC7906"/>
    <w:rsid w:val="0B27418B"/>
    <w:rsid w:val="0DED7330"/>
    <w:rsid w:val="121D650E"/>
    <w:rsid w:val="140B4849"/>
    <w:rsid w:val="160444FD"/>
    <w:rsid w:val="1E8C1CF4"/>
    <w:rsid w:val="1F3B380A"/>
    <w:rsid w:val="210D533E"/>
    <w:rsid w:val="22B36662"/>
    <w:rsid w:val="230A5DB3"/>
    <w:rsid w:val="234C0FA0"/>
    <w:rsid w:val="23B26D31"/>
    <w:rsid w:val="23EA3013"/>
    <w:rsid w:val="25AE4DBF"/>
    <w:rsid w:val="26920EBB"/>
    <w:rsid w:val="29B34495"/>
    <w:rsid w:val="312F5BA5"/>
    <w:rsid w:val="35A73F4E"/>
    <w:rsid w:val="36D645C8"/>
    <w:rsid w:val="399A57C5"/>
    <w:rsid w:val="49BB24DE"/>
    <w:rsid w:val="4B4F6269"/>
    <w:rsid w:val="50D149F1"/>
    <w:rsid w:val="5C4043FC"/>
    <w:rsid w:val="610E24AE"/>
    <w:rsid w:val="64C11DAF"/>
    <w:rsid w:val="65307557"/>
    <w:rsid w:val="670B5EA0"/>
    <w:rsid w:val="6BC17149"/>
    <w:rsid w:val="71716CB3"/>
    <w:rsid w:val="73905C50"/>
    <w:rsid w:val="752D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link w:val="25"/>
    <w:qFormat/>
    <w:uiPriority w:val="0"/>
    <w:pPr>
      <w:jc w:val="left"/>
    </w:pPr>
  </w:style>
  <w:style w:type="paragraph" w:styleId="6">
    <w:name w:val="Body Text"/>
    <w:basedOn w:val="1"/>
    <w:qFormat/>
    <w:uiPriority w:val="0"/>
    <w:pPr>
      <w:spacing w:after="120"/>
    </w:p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ascii="楷体_GB2312" w:eastAsia="楷体_GB2312"/>
      <w:b/>
      <w:sz w:val="72"/>
      <w:szCs w:val="20"/>
    </w:rPr>
  </w:style>
  <w:style w:type="paragraph" w:styleId="11">
    <w:name w:val="annotation subject"/>
    <w:basedOn w:val="5"/>
    <w:next w:val="5"/>
    <w:link w:val="26"/>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unhideWhenUsed/>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ITB-0"/>
    <w:basedOn w:val="1"/>
    <w:qFormat/>
    <w:uiPriority w:val="0"/>
    <w:pPr>
      <w:adjustRightInd w:val="0"/>
      <w:jc w:val="center"/>
    </w:pPr>
    <w:rPr>
      <w:b/>
      <w:sz w:val="32"/>
      <w:szCs w:val="20"/>
    </w:rPr>
  </w:style>
  <w:style w:type="paragraph" w:customStyle="1" w:styleId="1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0">
    <w:name w:val="ifb-1"/>
    <w:basedOn w:val="1"/>
    <w:qFormat/>
    <w:uiPriority w:val="0"/>
    <w:pPr>
      <w:ind w:left="420" w:hanging="420"/>
    </w:pPr>
    <w:rPr>
      <w:rFonts w:ascii="楷体_GB2312" w:eastAsia="楷体_GB2312"/>
      <w:szCs w:val="20"/>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att"/>
    <w:basedOn w:val="1"/>
    <w:qFormat/>
    <w:uiPriority w:val="0"/>
    <w:pPr>
      <w:spacing w:line="360" w:lineRule="auto"/>
    </w:pPr>
    <w:rPr>
      <w:rFonts w:eastAsia="楷体_GB2312"/>
      <w:sz w:val="24"/>
      <w:szCs w:val="20"/>
    </w:rPr>
  </w:style>
  <w:style w:type="character" w:customStyle="1" w:styleId="23">
    <w:name w:val="批注框文本 字符"/>
    <w:basedOn w:val="14"/>
    <w:link w:val="7"/>
    <w:qFormat/>
    <w:uiPriority w:val="0"/>
    <w:rPr>
      <w:rFonts w:ascii="Times New Roman" w:hAnsi="Times New Roman" w:eastAsia="宋体" w:cs="Times New Roman"/>
      <w:kern w:val="2"/>
      <w:sz w:val="18"/>
      <w:szCs w:val="18"/>
    </w:rPr>
  </w:style>
  <w:style w:type="paragraph" w:styleId="24">
    <w:name w:val="List Paragraph"/>
    <w:basedOn w:val="1"/>
    <w:qFormat/>
    <w:uiPriority w:val="99"/>
    <w:pPr>
      <w:ind w:firstLine="420" w:firstLineChars="200"/>
    </w:pPr>
    <w:rPr>
      <w:lang w:val="zh-CN"/>
    </w:rPr>
  </w:style>
  <w:style w:type="character" w:customStyle="1" w:styleId="25">
    <w:name w:val="批注文字 字符"/>
    <w:basedOn w:val="14"/>
    <w:link w:val="5"/>
    <w:qFormat/>
    <w:uiPriority w:val="0"/>
    <w:rPr>
      <w:kern w:val="2"/>
      <w:sz w:val="21"/>
      <w:szCs w:val="24"/>
    </w:rPr>
  </w:style>
  <w:style w:type="character" w:customStyle="1" w:styleId="26">
    <w:name w:val="批注主题 字符"/>
    <w:basedOn w:val="25"/>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4150</Words>
  <Characters>4677</Characters>
  <Lines>42</Lines>
  <Paragraphs>11</Paragraphs>
  <TotalTime>11</TotalTime>
  <ScaleCrop>false</ScaleCrop>
  <LinksUpToDate>false</LinksUpToDate>
  <CharactersWithSpaces>5216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2022-03-18T00:41:00Z</dcterms:created>
  <dc:creator>存好资料请勿改密</dc:creator>
  <cp:lastModifiedBy>79375</cp:lastModifiedBy>
  <dcterms:modified xsi:type="dcterms:W3CDTF">2022-06-02T03:02:24Z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F5ADC936AA1945DEB190F2364CCE51E1</vt:lpwstr>
  </property>
</Properties>
</file>