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华文仿宋" w:hAnsi="华文仿宋" w:eastAsia="华文仿宋"/>
          <w:sz w:val="60"/>
          <w:szCs w:val="60"/>
        </w:rPr>
      </w:pPr>
    </w:p>
    <w:p>
      <w:pPr>
        <w:pStyle w:val="8"/>
        <w:rPr>
          <w:rFonts w:ascii="宋体" w:hAnsi="宋体" w:eastAsia="宋体" w:cs="宋体"/>
          <w:sz w:val="60"/>
          <w:szCs w:val="60"/>
        </w:rPr>
      </w:pPr>
      <w:r>
        <w:rPr>
          <w:rFonts w:hint="eastAsia" w:ascii="宋体" w:hAnsi="宋体" w:eastAsia="宋体" w:cs="宋体"/>
          <w:sz w:val="60"/>
          <w:szCs w:val="60"/>
        </w:rPr>
        <w:t>上海市儿童医院</w:t>
      </w:r>
    </w:p>
    <w:p>
      <w:pPr>
        <w:pStyle w:val="8"/>
        <w:tabs>
          <w:tab w:val="center" w:pos="4479"/>
          <w:tab w:val="right" w:pos="8958"/>
        </w:tabs>
        <w:rPr>
          <w:rFonts w:ascii="宋体" w:hAnsi="宋体" w:eastAsia="宋体" w:cs="宋体"/>
          <w:sz w:val="40"/>
          <w:szCs w:val="40"/>
        </w:rPr>
      </w:pPr>
    </w:p>
    <w:p>
      <w:pPr>
        <w:pStyle w:val="8"/>
        <w:tabs>
          <w:tab w:val="center" w:pos="4479"/>
          <w:tab w:val="right" w:pos="8958"/>
        </w:tabs>
        <w:rPr>
          <w:rFonts w:ascii="宋体" w:hAnsi="宋体" w:eastAsia="宋体" w:cs="宋体"/>
          <w:sz w:val="40"/>
          <w:szCs w:val="40"/>
        </w:rPr>
      </w:pPr>
    </w:p>
    <w:p>
      <w:pPr>
        <w:pStyle w:val="8"/>
        <w:tabs>
          <w:tab w:val="center" w:pos="4479"/>
          <w:tab w:val="right" w:pos="8958"/>
        </w:tabs>
        <w:rPr>
          <w:rFonts w:ascii="宋体" w:hAnsi="宋体" w:eastAsia="宋体" w:cs="宋体"/>
          <w:sz w:val="40"/>
          <w:szCs w:val="40"/>
        </w:rPr>
      </w:pPr>
    </w:p>
    <w:p>
      <w:pPr>
        <w:pStyle w:val="8"/>
        <w:tabs>
          <w:tab w:val="center" w:pos="4479"/>
          <w:tab w:val="right" w:pos="8958"/>
        </w:tabs>
        <w:rPr>
          <w:rFonts w:ascii="宋体" w:hAnsi="宋体" w:eastAsia="宋体" w:cs="宋体"/>
          <w:sz w:val="60"/>
          <w:szCs w:val="60"/>
        </w:rPr>
      </w:pPr>
      <w:r>
        <w:rPr>
          <w:rFonts w:hint="eastAsia" w:ascii="宋体" w:hAnsi="宋体" w:eastAsia="宋体" w:cs="宋体"/>
          <w:sz w:val="60"/>
          <w:szCs w:val="60"/>
          <w:lang w:val="en-US" w:eastAsia="zh-CN"/>
        </w:rPr>
        <w:t>法定</w:t>
      </w:r>
      <w:r>
        <w:rPr>
          <w:rFonts w:hint="eastAsia" w:ascii="宋体" w:hAnsi="宋体" w:eastAsia="宋体" w:cs="宋体"/>
          <w:sz w:val="60"/>
          <w:szCs w:val="60"/>
        </w:rPr>
        <w:t>传染病监测预警信息系统建设项目</w:t>
      </w:r>
    </w:p>
    <w:p>
      <w:pPr>
        <w:pStyle w:val="14"/>
        <w:spacing w:line="312" w:lineRule="atLeast"/>
        <w:outlineLvl w:val="0"/>
        <w:rPr>
          <w:rFonts w:ascii="宋体" w:hAnsi="宋体" w:cs="宋体"/>
          <w:sz w:val="60"/>
          <w:szCs w:val="60"/>
        </w:rPr>
      </w:pPr>
    </w:p>
    <w:p>
      <w:pPr>
        <w:pStyle w:val="14"/>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r>
        <w:rPr>
          <w:rFonts w:hint="eastAsia" w:ascii="宋体" w:hAnsi="宋体" w:cs="宋体"/>
          <w:b/>
          <w:sz w:val="36"/>
          <w:szCs w:val="20"/>
        </w:rPr>
        <w:t>遴选编号：2021-ETLXXB-002</w:t>
      </w:r>
    </w:p>
    <w:p>
      <w:pPr>
        <w:pStyle w:val="8"/>
        <w:rPr>
          <w:rFonts w:ascii="宋体" w:hAnsi="宋体" w:eastAsia="宋体" w:cs="宋体"/>
          <w:sz w:val="36"/>
        </w:rPr>
      </w:pPr>
    </w:p>
    <w:p>
      <w:pPr>
        <w:pStyle w:val="8"/>
        <w:rPr>
          <w:rFonts w:ascii="宋体" w:hAnsi="宋体" w:eastAsia="宋体" w:cs="宋体"/>
          <w:sz w:val="36"/>
        </w:rPr>
      </w:pPr>
      <w:r>
        <w:rPr>
          <w:rFonts w:hint="eastAsia" w:ascii="宋体" w:hAnsi="宋体" w:eastAsia="宋体" w:cs="宋体"/>
          <w:sz w:val="36"/>
        </w:rPr>
        <w:t>2021年08月</w:t>
      </w:r>
      <w:r>
        <w:rPr>
          <w:rFonts w:hint="eastAsia" w:ascii="宋体" w:hAnsi="宋体" w:eastAsia="宋体" w:cs="宋体"/>
          <w:sz w:val="36"/>
          <w:lang w:val="en-US" w:eastAsia="zh-CN"/>
        </w:rPr>
        <w:t>09</w:t>
      </w:r>
      <w:r>
        <w:rPr>
          <w:rFonts w:hint="eastAsia" w:ascii="宋体" w:hAnsi="宋体" w:eastAsia="宋体" w:cs="宋体"/>
          <w:sz w:val="36"/>
        </w:rPr>
        <w:t>日</w:t>
      </w:r>
    </w:p>
    <w:p>
      <w:pPr>
        <w:pStyle w:val="8"/>
        <w:rPr>
          <w:rFonts w:ascii="宋体" w:hAnsi="宋体" w:eastAsia="宋体" w:cs="宋体"/>
          <w:sz w:val="36"/>
        </w:rPr>
      </w:pPr>
    </w:p>
    <w:p>
      <w:pPr>
        <w:pStyle w:val="8"/>
        <w:rPr>
          <w:rFonts w:ascii="宋体" w:hAnsi="宋体" w:eastAsia="宋体" w:cs="宋体"/>
          <w:sz w:val="36"/>
        </w:rPr>
      </w:pPr>
    </w:p>
    <w:p>
      <w:pPr>
        <w:pStyle w:val="8"/>
        <w:rPr>
          <w:rFonts w:ascii="宋体" w:hAnsi="宋体" w:eastAsia="宋体" w:cs="宋体"/>
          <w:sz w:val="36"/>
        </w:rPr>
      </w:pPr>
    </w:p>
    <w:p>
      <w:pPr>
        <w:pStyle w:val="8"/>
        <w:rPr>
          <w:rFonts w:ascii="宋体" w:hAnsi="宋体" w:eastAsia="宋体" w:cs="宋体"/>
          <w:sz w:val="36"/>
        </w:rPr>
      </w:pPr>
    </w:p>
    <w:p>
      <w:pPr>
        <w:pStyle w:val="15"/>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ascii="宋体" w:hAnsi="宋体" w:cs="宋体"/>
          <w:sz w:val="24"/>
        </w:rPr>
      </w:pPr>
      <w:r>
        <w:rPr>
          <w:rFonts w:hint="eastAsia" w:ascii="宋体" w:hAnsi="宋体" w:cs="宋体"/>
          <w:sz w:val="24"/>
        </w:rPr>
        <w:t>遴选编号：2021-ETLXXB-002</w:t>
      </w:r>
    </w:p>
    <w:p>
      <w:pPr>
        <w:pStyle w:val="16"/>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w:t>
      </w:r>
      <w:r>
        <w:rPr>
          <w:rFonts w:hint="eastAsia" w:ascii="宋体" w:hAnsi="宋体" w:eastAsia="宋体" w:cs="宋体"/>
          <w:sz w:val="24"/>
          <w:szCs w:val="24"/>
          <w:lang w:val="en-US" w:eastAsia="zh-CN"/>
        </w:rPr>
        <w:t>法定</w:t>
      </w:r>
      <w:bookmarkStart w:id="14" w:name="_GoBack"/>
      <w:bookmarkEnd w:id="14"/>
      <w:r>
        <w:rPr>
          <w:rFonts w:hint="eastAsia" w:ascii="宋体" w:hAnsi="宋体" w:eastAsia="宋体" w:cs="宋体"/>
          <w:sz w:val="24"/>
          <w:szCs w:val="24"/>
        </w:rPr>
        <w:t>传染病监测预警信息系统建设现以院内遴选采购的方式就下列所提供的货物和相关服务进行采购。</w:t>
      </w:r>
    </w:p>
    <w:p>
      <w:pPr>
        <w:pStyle w:val="16"/>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9"/>
        <w:tblW w:w="8218" w:type="dxa"/>
        <w:jc w:val="center"/>
        <w:tblLayout w:type="autofit"/>
        <w:tblCellMar>
          <w:top w:w="0" w:type="dxa"/>
          <w:left w:w="108" w:type="dxa"/>
          <w:bottom w:w="0" w:type="dxa"/>
          <w:right w:w="108" w:type="dxa"/>
        </w:tblCellMar>
      </w:tblPr>
      <w:tblGrid>
        <w:gridCol w:w="1267"/>
        <w:gridCol w:w="3338"/>
        <w:gridCol w:w="1646"/>
        <w:gridCol w:w="1967"/>
      </w:tblGrid>
      <w:tr>
        <w:tblPrEx>
          <w:tblCellMar>
            <w:top w:w="0" w:type="dxa"/>
            <w:left w:w="108" w:type="dxa"/>
            <w:bottom w:w="0" w:type="dxa"/>
            <w:right w:w="108" w:type="dxa"/>
          </w:tblCellMar>
        </w:tblPrEx>
        <w:trPr>
          <w:trHeight w:val="392" w:hRule="exact"/>
          <w:jc w:val="center"/>
        </w:trPr>
        <w:tc>
          <w:tcPr>
            <w:tcW w:w="126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sz w:val="24"/>
                <w:szCs w:val="24"/>
              </w:rPr>
            </w:pPr>
            <w:r>
              <w:rPr>
                <w:rFonts w:hint="eastAsia" w:ascii="宋体" w:hAnsi="宋体" w:cs="宋体"/>
                <w:sz w:val="24"/>
                <w:szCs w:val="24"/>
              </w:rPr>
              <w:t>序号</w:t>
            </w:r>
          </w:p>
        </w:tc>
        <w:tc>
          <w:tcPr>
            <w:tcW w:w="3338" w:type="dxa"/>
            <w:tcBorders>
              <w:top w:val="single" w:color="auto" w:sz="4" w:space="0"/>
              <w:left w:val="nil"/>
              <w:bottom w:val="single" w:color="auto" w:sz="4" w:space="0"/>
              <w:right w:val="single" w:color="auto" w:sz="4" w:space="0"/>
            </w:tcBorders>
          </w:tcPr>
          <w:p>
            <w:pPr>
              <w:widowControl/>
              <w:jc w:val="center"/>
              <w:rPr>
                <w:rFonts w:ascii="宋体" w:hAnsi="宋体" w:cs="宋体"/>
                <w:sz w:val="24"/>
                <w:szCs w:val="24"/>
              </w:rPr>
            </w:pPr>
            <w:r>
              <w:rPr>
                <w:rFonts w:hint="eastAsia" w:ascii="宋体" w:hAnsi="宋体" w:cs="宋体"/>
                <w:sz w:val="24"/>
                <w:szCs w:val="24"/>
              </w:rPr>
              <w:t>项目名称</w:t>
            </w:r>
          </w:p>
        </w:tc>
        <w:tc>
          <w:tcPr>
            <w:tcW w:w="1646" w:type="dxa"/>
            <w:tcBorders>
              <w:top w:val="single" w:color="auto" w:sz="4" w:space="0"/>
              <w:left w:val="nil"/>
              <w:bottom w:val="single" w:color="auto" w:sz="4" w:space="0"/>
              <w:right w:val="single" w:color="auto" w:sz="4" w:space="0"/>
            </w:tcBorders>
          </w:tcPr>
          <w:p>
            <w:pPr>
              <w:widowControl/>
              <w:jc w:val="center"/>
              <w:rPr>
                <w:rFonts w:ascii="宋体" w:hAnsi="宋体" w:cs="宋体"/>
                <w:sz w:val="24"/>
                <w:szCs w:val="24"/>
              </w:rPr>
            </w:pPr>
            <w:r>
              <w:rPr>
                <w:rFonts w:hint="eastAsia" w:ascii="宋体" w:hAnsi="宋体" w:cs="宋体"/>
                <w:sz w:val="24"/>
                <w:szCs w:val="24"/>
              </w:rPr>
              <w:t>数量</w:t>
            </w:r>
          </w:p>
        </w:tc>
        <w:tc>
          <w:tcPr>
            <w:tcW w:w="1967" w:type="dxa"/>
            <w:tcBorders>
              <w:top w:val="single" w:color="auto" w:sz="4" w:space="0"/>
              <w:left w:val="nil"/>
              <w:bottom w:val="single" w:color="auto" w:sz="4" w:space="0"/>
              <w:right w:val="single" w:color="auto" w:sz="4" w:space="0"/>
            </w:tcBorders>
          </w:tcPr>
          <w:p>
            <w:pPr>
              <w:widowControl/>
              <w:jc w:val="center"/>
              <w:rPr>
                <w:rFonts w:ascii="宋体" w:hAnsi="宋体" w:cs="宋体"/>
                <w:sz w:val="24"/>
                <w:szCs w:val="24"/>
              </w:rPr>
            </w:pPr>
            <w:r>
              <w:rPr>
                <w:rFonts w:hint="eastAsia" w:ascii="宋体" w:hAnsi="宋体" w:cs="宋体"/>
                <w:sz w:val="24"/>
                <w:szCs w:val="24"/>
              </w:rPr>
              <w:t>项目预算（元）</w:t>
            </w:r>
          </w:p>
        </w:tc>
      </w:tr>
      <w:tr>
        <w:tblPrEx>
          <w:tblCellMar>
            <w:top w:w="0" w:type="dxa"/>
            <w:left w:w="108" w:type="dxa"/>
            <w:bottom w:w="0" w:type="dxa"/>
            <w:right w:w="108" w:type="dxa"/>
          </w:tblCellMar>
        </w:tblPrEx>
        <w:trPr>
          <w:trHeight w:val="619"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1</w:t>
            </w:r>
          </w:p>
        </w:tc>
        <w:tc>
          <w:tcPr>
            <w:tcW w:w="33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bookmarkStart w:id="1" w:name="_Hlk79151357"/>
            <w:r>
              <w:rPr>
                <w:rFonts w:hint="eastAsia"/>
                <w:sz w:val="24"/>
                <w:szCs w:val="24"/>
              </w:rPr>
              <w:t>传染病监测预警信息系统建设</w:t>
            </w:r>
            <w:bookmarkEnd w:id="1"/>
          </w:p>
        </w:tc>
        <w:tc>
          <w:tcPr>
            <w:tcW w:w="16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1</w:t>
            </w:r>
          </w:p>
        </w:tc>
        <w:tc>
          <w:tcPr>
            <w:tcW w:w="19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100000.00</w:t>
            </w:r>
          </w:p>
        </w:tc>
      </w:tr>
    </w:tbl>
    <w:p>
      <w:pPr>
        <w:pStyle w:val="16"/>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16"/>
        <w:numPr>
          <w:ilvl w:val="0"/>
          <w:numId w:val="1"/>
        </w:numPr>
        <w:autoSpaceDE w:val="0"/>
        <w:autoSpaceDN w:val="0"/>
        <w:spacing w:line="360" w:lineRule="exact"/>
        <w:jc w:val="left"/>
        <w:rPr>
          <w:rFonts w:ascii="宋体" w:hAnsi="宋体" w:eastAsia="宋体" w:cs="宋体"/>
          <w:b/>
          <w:sz w:val="24"/>
          <w:szCs w:val="24"/>
        </w:rPr>
      </w:pPr>
      <w:bookmarkStart w:id="2" w:name="_Toc461613082"/>
      <w:bookmarkStart w:id="3" w:name="_Toc461613010"/>
      <w:r>
        <w:rPr>
          <w:rFonts w:hint="eastAsia" w:ascii="宋体" w:hAnsi="宋体" w:eastAsia="宋体" w:cs="宋体"/>
          <w:b/>
          <w:sz w:val="24"/>
          <w:szCs w:val="24"/>
        </w:rPr>
        <w:t>遴选响应文件要求</w:t>
      </w:r>
    </w:p>
    <w:p>
      <w:pPr>
        <w:pStyle w:val="16"/>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2021年08月</w:t>
      </w:r>
      <w:r>
        <w:rPr>
          <w:rFonts w:hint="eastAsia" w:ascii="宋体" w:hAnsi="宋体" w:eastAsia="宋体" w:cs="宋体"/>
          <w:b/>
          <w:sz w:val="24"/>
          <w:szCs w:val="24"/>
          <w:lang w:val="en-US" w:eastAsia="zh-CN"/>
        </w:rPr>
        <w:t>09</w:t>
      </w:r>
      <w:r>
        <w:rPr>
          <w:rFonts w:hint="eastAsia" w:ascii="宋体" w:hAnsi="宋体" w:eastAsia="宋体" w:cs="宋体"/>
          <w:b/>
          <w:sz w:val="24"/>
          <w:szCs w:val="24"/>
        </w:rPr>
        <w:t>日起至2021年08月</w:t>
      </w:r>
      <w:r>
        <w:rPr>
          <w:rFonts w:hint="eastAsia" w:ascii="宋体" w:hAnsi="宋体" w:eastAsia="宋体" w:cs="宋体"/>
          <w:b/>
          <w:sz w:val="24"/>
          <w:szCs w:val="24"/>
          <w:lang w:val="en-US" w:eastAsia="zh-CN"/>
        </w:rPr>
        <w:t>16</w:t>
      </w:r>
      <w:r>
        <w:rPr>
          <w:rFonts w:hint="eastAsia" w:ascii="宋体" w:hAnsi="宋体" w:eastAsia="宋体" w:cs="宋体"/>
          <w:b/>
          <w:sz w:val="24"/>
          <w:szCs w:val="24"/>
        </w:rPr>
        <w:t>日</w:t>
      </w:r>
      <w:r>
        <w:rPr>
          <w:rFonts w:hint="eastAsia" w:ascii="宋体" w:hAnsi="宋体" w:eastAsia="宋体" w:cs="宋体"/>
          <w:sz w:val="24"/>
          <w:szCs w:val="24"/>
        </w:rPr>
        <w:t>止(星期六、日和节假日除外)每天上午9:00~11:30和下午1:00~4:30(北京时间) 前向上海市儿童医院信息部领取遴选文件并于截止时间前完成“供应商平台”接待登记，接待部门请选择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6"/>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w:t>
      </w:r>
      <w:r>
        <w:rPr>
          <w:rFonts w:hint="eastAsia" w:ascii="宋体" w:hAnsi="宋体" w:eastAsia="宋体" w:cs="宋体"/>
          <w:sz w:val="24"/>
          <w:szCs w:val="24"/>
          <w:lang w:val="en-US" w:eastAsia="zh-CN"/>
        </w:rPr>
        <w:t>2</w:t>
      </w:r>
      <w:r>
        <w:rPr>
          <w:rFonts w:hint="eastAsia" w:ascii="宋体" w:hAnsi="宋体" w:eastAsia="宋体" w:cs="宋体"/>
          <w:sz w:val="24"/>
          <w:szCs w:val="24"/>
        </w:rPr>
        <w:t>法人授权格式）</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4" w:name="_Toc461613013"/>
      <w:bookmarkStart w:id="5" w:name="_Toc461613085"/>
    </w:p>
    <w:bookmarkEnd w:id="4"/>
    <w:bookmarkEnd w:id="5"/>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fldChar w:fldCharType="begin"/>
      </w:r>
      <w:r>
        <w:instrText xml:space="preserve"> HYPERLINK "mailto:liyi@shchildren.com.cn" </w:instrText>
      </w:r>
      <w:r>
        <w:fldChar w:fldCharType="separate"/>
      </w:r>
      <w:r>
        <w:rPr>
          <w:rStyle w:val="13"/>
          <w:rFonts w:ascii="宋体"/>
          <w:szCs w:val="21"/>
        </w:rPr>
        <w:t>liyi@shchildren.com.cn</w:t>
      </w:r>
      <w:r>
        <w:rPr>
          <w:rStyle w:val="13"/>
          <w:rFonts w:ascii="宋体"/>
          <w:szCs w:val="21"/>
        </w:rPr>
        <w:fldChar w:fldCharType="end"/>
      </w:r>
      <w:r>
        <w:rPr>
          <w:rFonts w:hint="eastAsia" w:ascii="宋体" w:hAnsi="宋体" w:eastAsia="宋体" w:cs="宋体"/>
          <w:sz w:val="24"/>
          <w:szCs w:val="24"/>
        </w:rPr>
        <w:t>）。</w:t>
      </w:r>
    </w:p>
    <w:p>
      <w:pPr>
        <w:pStyle w:val="1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6"/>
        <w:autoSpaceDE w:val="0"/>
        <w:autoSpaceDN w:val="0"/>
        <w:spacing w:line="360" w:lineRule="exact"/>
        <w:ind w:leftChars="200" w:firstLine="0"/>
        <w:rPr>
          <w:rFonts w:ascii="宋体" w:hAnsi="宋体" w:eastAsia="宋体" w:cs="宋体"/>
          <w:sz w:val="24"/>
          <w:szCs w:val="24"/>
        </w:rPr>
      </w:pPr>
      <w:bookmarkStart w:id="6" w:name="OLE_LINK16"/>
      <w:bookmarkStart w:id="7" w:name="OLE_LINK11"/>
      <w:r>
        <w:rPr>
          <w:rFonts w:hint="eastAsia" w:ascii="宋体" w:hAnsi="宋体" w:eastAsia="宋体" w:cs="宋体"/>
          <w:sz w:val="24"/>
          <w:szCs w:val="24"/>
        </w:rPr>
        <w:t>地址：</w:t>
      </w:r>
      <w:bookmarkStart w:id="8" w:name="OLE_LINK13"/>
      <w:r>
        <w:rPr>
          <w:rFonts w:hint="eastAsia" w:ascii="宋体" w:hAnsi="宋体" w:eastAsia="宋体" w:cs="宋体"/>
          <w:sz w:val="24"/>
          <w:szCs w:val="24"/>
        </w:rPr>
        <w:t>上海市普陀区泸定路355号1楼</w:t>
      </w:r>
    </w:p>
    <w:p>
      <w:pPr>
        <w:pStyle w:val="16"/>
        <w:autoSpaceDE w:val="0"/>
        <w:autoSpaceDN w:val="0"/>
        <w:spacing w:line="360" w:lineRule="exact"/>
        <w:ind w:leftChars="200" w:firstLine="0"/>
        <w:rPr>
          <w:rFonts w:ascii="宋体" w:hAnsi="宋体" w:eastAsia="宋体" w:cs="宋体"/>
          <w:sz w:val="24"/>
          <w:szCs w:val="24"/>
        </w:rPr>
      </w:pPr>
      <w:bookmarkStart w:id="9" w:name="OLE_LINK129"/>
      <w:r>
        <w:rPr>
          <w:rFonts w:hint="eastAsia" w:ascii="宋体" w:hAnsi="宋体" w:eastAsia="宋体" w:cs="宋体"/>
          <w:sz w:val="24"/>
          <w:szCs w:val="24"/>
        </w:rPr>
        <w:t>邮编：</w:t>
      </w:r>
      <w:bookmarkStart w:id="10" w:name="OLE_LINK17"/>
      <w:r>
        <w:rPr>
          <w:rFonts w:hint="eastAsia" w:ascii="宋体" w:hAnsi="宋体" w:eastAsia="宋体" w:cs="宋体"/>
          <w:sz w:val="24"/>
          <w:szCs w:val="24"/>
        </w:rPr>
        <w:t>200062</w:t>
      </w:r>
      <w:bookmarkEnd w:id="6"/>
      <w:bookmarkEnd w:id="9"/>
      <w:bookmarkEnd w:id="10"/>
    </w:p>
    <w:p>
      <w:pPr>
        <w:pStyle w:val="1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7"/>
    <w:bookmarkEnd w:id="8"/>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2"/>
      <w:bookmarkEnd w:id="3"/>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3"/>
          <w:rFonts w:ascii="宋体"/>
          <w:szCs w:val="21"/>
        </w:rPr>
        <w:t>liyi@shchildren.com.cn</w:t>
      </w:r>
      <w:r>
        <w:rPr>
          <w:rFonts w:ascii="宋体"/>
          <w:szCs w:val="21"/>
        </w:rPr>
        <w:fldChar w:fldCharType="end"/>
      </w:r>
    </w:p>
    <w:p>
      <w:pPr>
        <w:pStyle w:val="16"/>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6"/>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 xml:space="preserve">根据疫情防控形势变化和医院疫情防控要求，取消近期遴选项目的现场开标，欲参与投标公司请务必点击 https://www.wjx.top/vj/wFZK6l9.aspx </w:t>
      </w:r>
      <w:r>
        <w:rPr>
          <w:rFonts w:hint="eastAsia" w:ascii="宋体" w:hAnsi="宋体" w:eastAsia="宋体" w:cs="宋体"/>
          <w:sz w:val="24"/>
          <w:szCs w:val="24"/>
          <w:lang w:eastAsia="zh-CN"/>
        </w:rPr>
        <w:t>，</w:t>
      </w:r>
      <w:r>
        <w:rPr>
          <w:rFonts w:hint="eastAsia" w:ascii="宋体" w:hAnsi="宋体" w:eastAsia="宋体" w:cs="宋体"/>
          <w:sz w:val="24"/>
          <w:szCs w:val="24"/>
        </w:rPr>
        <w:t>填写“参与上海市儿童医院遴选项目的投标公司疫情防控登记表”并将遴选响应文件按要求密封后，于截止日期（</w:t>
      </w:r>
      <w:r>
        <w:rPr>
          <w:rFonts w:hint="eastAsia" w:ascii="宋体" w:hAnsi="宋体" w:eastAsia="宋体" w:cs="宋体"/>
          <w:sz w:val="24"/>
          <w:szCs w:val="24"/>
          <w:u w:val="single"/>
        </w:rPr>
        <w:t>2021年08月1</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日北京时间17:00</w:t>
      </w:r>
      <w:r>
        <w:rPr>
          <w:rFonts w:hint="eastAsia" w:ascii="宋体" w:hAnsi="宋体" w:eastAsia="宋体" w:cs="宋体"/>
          <w:sz w:val="24"/>
          <w:szCs w:val="24"/>
        </w:rPr>
        <w:t>）前，快递至：上海市儿童医院泸定路355号1楼 采购中心 联系人：李怡 13269250405</w:t>
      </w:r>
    </w:p>
    <w:p>
      <w:pPr>
        <w:pStyle w:val="16"/>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（为保证遴选响应文件在截止时间前到达，请务必提前寄出并及时跟踪物流信息。）</w:t>
      </w:r>
    </w:p>
    <w:p>
      <w:pPr>
        <w:pStyle w:val="16"/>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w:t>
      </w:r>
    </w:p>
    <w:p>
      <w:pPr>
        <w:pStyle w:val="16"/>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6"/>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6"/>
        <w:numPr>
          <w:ilvl w:val="0"/>
          <w:numId w:val="4"/>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医院将根据质量和服务均能满足采购文件实质性响应要求综合评定的原则确定一家成交供应商。</w:t>
      </w:r>
    </w:p>
    <w:p>
      <w:pPr>
        <w:pStyle w:val="16"/>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b/>
          <w:sz w:val="24"/>
          <w:szCs w:val="24"/>
        </w:rPr>
        <w:t>付款方式</w:t>
      </w:r>
    </w:p>
    <w:p>
      <w:pPr>
        <w:widowControl/>
        <w:numPr>
          <w:ilvl w:val="0"/>
          <w:numId w:val="5"/>
        </w:numPr>
        <w:tabs>
          <w:tab w:val="left" w:pos="900"/>
          <w:tab w:val="left" w:pos="1276"/>
          <w:tab w:val="left" w:pos="1985"/>
        </w:tabs>
        <w:spacing w:line="380" w:lineRule="exact"/>
        <w:ind w:left="845" w:leftChars="0" w:hanging="425" w:firstLineChars="0"/>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5"/>
        </w:numPr>
        <w:tabs>
          <w:tab w:val="left" w:pos="900"/>
          <w:tab w:val="left" w:pos="1276"/>
          <w:tab w:val="left" w:pos="1985"/>
        </w:tabs>
        <w:spacing w:line="380" w:lineRule="exact"/>
        <w:ind w:left="845" w:leftChars="0" w:hanging="425" w:firstLineChars="0"/>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5"/>
        </w:numPr>
        <w:tabs>
          <w:tab w:val="left" w:pos="900"/>
          <w:tab w:val="left" w:pos="1276"/>
          <w:tab w:val="left" w:pos="1985"/>
        </w:tabs>
        <w:spacing w:line="380" w:lineRule="exact"/>
        <w:ind w:left="845" w:leftChars="0" w:hanging="425" w:firstLineChars="0"/>
        <w:rPr>
          <w:rFonts w:ascii="宋体" w:hAnsi="宋体" w:cs="宋体"/>
          <w:sz w:val="24"/>
        </w:rPr>
      </w:pPr>
      <w:r>
        <w:rPr>
          <w:rFonts w:hint="eastAsia" w:ascii="宋体" w:hAnsi="宋体" w:cs="宋体"/>
          <w:sz w:val="24"/>
        </w:rPr>
        <w:t>项目验收合格后，甲方收到乙方出具的正式、合法、有效等额发票及总金额10%的银行保函作为质保金后三十个工作日，支付乙方合同总金额的10%款项。</w:t>
      </w: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6"/>
        <w:autoSpaceDE w:val="0"/>
        <w:autoSpaceDN w:val="0"/>
        <w:spacing w:line="360" w:lineRule="exact"/>
        <w:ind w:firstLine="0"/>
        <w:jc w:val="left"/>
        <w:rPr>
          <w:rFonts w:ascii="宋体" w:hAnsi="宋体" w:eastAsia="宋体" w:cs="宋体"/>
          <w:sz w:val="24"/>
          <w:szCs w:val="24"/>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numPr>
          <w:ilvl w:val="0"/>
          <w:numId w:val="6"/>
        </w:numPr>
        <w:rPr>
          <w:rFonts w:ascii="宋体" w:hAnsi="宋体" w:eastAsia="宋体" w:cs="宋体"/>
        </w:rPr>
      </w:pPr>
      <w:r>
        <w:rPr>
          <w:rFonts w:hint="eastAsia" w:ascii="宋体" w:hAnsi="宋体" w:eastAsia="宋体" w:cs="宋体"/>
        </w:rPr>
        <w:t>货物需求一览表及技术规格</w:t>
      </w: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spacing w:line="360" w:lineRule="auto"/>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widowControl/>
        <w:numPr>
          <w:ilvl w:val="0"/>
          <w:numId w:val="7"/>
        </w:numPr>
        <w:spacing w:line="360" w:lineRule="auto"/>
        <w:jc w:val="left"/>
        <w:rPr>
          <w:rFonts w:ascii="宋体" w:hAnsi="宋体" w:cs="宋体"/>
          <w:b/>
          <w:sz w:val="24"/>
        </w:rPr>
      </w:pPr>
      <w:r>
        <w:rPr>
          <w:rFonts w:hint="eastAsia" w:ascii="宋体" w:hAnsi="宋体" w:cs="宋体"/>
          <w:b/>
          <w:sz w:val="24"/>
        </w:rPr>
        <w:t>项目名称</w:t>
      </w:r>
      <w:r>
        <w:rPr>
          <w:rFonts w:hint="eastAsia" w:ascii="宋体" w:hAnsi="宋体" w:cs="宋体"/>
          <w:sz w:val="24"/>
        </w:rPr>
        <w:t>：上海市儿童医院法定传染病监测预警信息系统建设</w:t>
      </w:r>
    </w:p>
    <w:p>
      <w:pPr>
        <w:widowControl/>
        <w:numPr>
          <w:ilvl w:val="0"/>
          <w:numId w:val="7"/>
        </w:numPr>
        <w:spacing w:line="360" w:lineRule="auto"/>
        <w:jc w:val="left"/>
        <w:rPr>
          <w:rFonts w:ascii="宋体" w:hAnsi="宋体" w:cs="宋体"/>
          <w:b/>
          <w:sz w:val="24"/>
        </w:rPr>
      </w:pPr>
      <w:r>
        <w:rPr>
          <w:rFonts w:hint="eastAsia" w:ascii="宋体" w:hAnsi="宋体" w:cs="宋体"/>
          <w:b/>
          <w:sz w:val="24"/>
        </w:rPr>
        <w:t>项目建设周期</w:t>
      </w:r>
      <w:r>
        <w:rPr>
          <w:rFonts w:hint="eastAsia" w:ascii="宋体" w:hAnsi="宋体" w:cs="宋体"/>
          <w:sz w:val="24"/>
        </w:rPr>
        <w:t>：合同签订之日起18个月</w:t>
      </w:r>
    </w:p>
    <w:p>
      <w:pPr>
        <w:widowControl/>
        <w:numPr>
          <w:ilvl w:val="0"/>
          <w:numId w:val="7"/>
        </w:numPr>
        <w:spacing w:line="360" w:lineRule="auto"/>
        <w:jc w:val="left"/>
        <w:rPr>
          <w:rFonts w:ascii="宋体" w:hAnsi="宋体" w:cs="宋体"/>
          <w:b/>
          <w:sz w:val="24"/>
        </w:rPr>
      </w:pPr>
      <w:r>
        <w:rPr>
          <w:rFonts w:hint="eastAsia" w:ascii="宋体" w:hAnsi="宋体" w:cs="宋体"/>
          <w:b/>
          <w:sz w:val="24"/>
        </w:rPr>
        <w:t>项目实施地点</w:t>
      </w:r>
      <w:r>
        <w:rPr>
          <w:rFonts w:hint="eastAsia" w:ascii="宋体" w:hAnsi="宋体" w:cs="宋体"/>
          <w:sz w:val="24"/>
        </w:rPr>
        <w:t>：上海市儿童医院</w:t>
      </w:r>
    </w:p>
    <w:p>
      <w:pPr>
        <w:widowControl/>
        <w:numPr>
          <w:ilvl w:val="0"/>
          <w:numId w:val="7"/>
        </w:numPr>
        <w:spacing w:line="360" w:lineRule="auto"/>
        <w:jc w:val="left"/>
        <w:rPr>
          <w:rFonts w:ascii="宋体" w:hAnsi="宋体" w:cs="宋体"/>
          <w:b/>
          <w:sz w:val="24"/>
        </w:rPr>
      </w:pPr>
      <w:r>
        <w:rPr>
          <w:rFonts w:hint="eastAsia" w:ascii="宋体" w:hAnsi="宋体" w:cs="宋体"/>
          <w:b/>
          <w:sz w:val="24"/>
        </w:rPr>
        <w:t>技术参数</w:t>
      </w:r>
    </w:p>
    <w:p>
      <w:pPr>
        <w:spacing w:line="360" w:lineRule="auto"/>
        <w:ind w:firstLine="480" w:firstLineChars="200"/>
        <w:rPr>
          <w:rFonts w:ascii="宋体" w:hAnsi="宋体" w:cs="宋体"/>
          <w:sz w:val="24"/>
        </w:rPr>
      </w:pPr>
      <w:bookmarkStart w:id="11" w:name="_Toc21174"/>
      <w:bookmarkStart w:id="12" w:name="_Toc15488"/>
      <w:bookmarkStart w:id="13" w:name="_Toc5135"/>
      <w:r>
        <w:rPr>
          <w:rFonts w:hint="eastAsia" w:ascii="宋体" w:hAnsi="宋体" w:cs="宋体"/>
          <w:sz w:val="24"/>
        </w:rPr>
        <w:t>传染病报告管理系统按我院疾病监测、信息采集、报卡上传的政策规范要求，为感控管理人员提供报卡触发、填报、审核、查询统计以及疾病监测和筛查的服务，减轻医生填报工作量，减少漏报、迟报现象。</w:t>
      </w:r>
    </w:p>
    <w:p>
      <w:pPr>
        <w:spacing w:line="360" w:lineRule="auto"/>
        <w:ind w:firstLine="480"/>
        <w:rPr>
          <w:rFonts w:ascii="宋体" w:hAnsi="宋体" w:cs="宋体"/>
          <w:sz w:val="24"/>
        </w:rPr>
      </w:pPr>
      <w:r>
        <w:rPr>
          <w:rFonts w:hint="eastAsia" w:ascii="宋体" w:hAnsi="宋体" w:cs="宋体"/>
          <w:sz w:val="24"/>
        </w:rPr>
        <w:t xml:space="preserve"> 功能要求：要求具备中华人民共和国传染病报告卡的自动弹卡、填卡、校验、审核、查询、导出、打印功能，具备传染病智能预警功能，提供传染病相关统计报表。</w:t>
      </w:r>
    </w:p>
    <w:p>
      <w:pPr>
        <w:spacing w:line="360" w:lineRule="auto"/>
        <w:rPr>
          <w:rFonts w:ascii="宋体" w:hAnsi="宋体" w:cs="宋体"/>
          <w:sz w:val="24"/>
        </w:rPr>
      </w:pPr>
      <w:r>
        <w:rPr>
          <w:rFonts w:hint="eastAsia" w:ascii="宋体" w:hAnsi="宋体" w:cs="宋体"/>
          <w:sz w:val="24"/>
        </w:rPr>
        <w:t>具体功能要求如下：</w:t>
      </w:r>
    </w:p>
    <w:p>
      <w:pPr>
        <w:numPr>
          <w:ilvl w:val="0"/>
          <w:numId w:val="8"/>
        </w:numPr>
        <w:spacing w:line="360" w:lineRule="auto"/>
        <w:rPr>
          <w:rFonts w:ascii="宋体" w:hAnsi="宋体" w:cs="宋体"/>
          <w:b/>
          <w:bCs/>
          <w:sz w:val="24"/>
        </w:rPr>
      </w:pPr>
      <w:r>
        <w:rPr>
          <w:rFonts w:hint="eastAsia" w:ascii="宋体" w:hAnsi="宋体" w:cs="宋体"/>
          <w:b/>
          <w:bCs/>
          <w:sz w:val="24"/>
        </w:rPr>
        <w:t xml:space="preserve">传染病报告卡 </w:t>
      </w:r>
    </w:p>
    <w:p>
      <w:pPr>
        <w:spacing w:line="360" w:lineRule="auto"/>
        <w:rPr>
          <w:rFonts w:ascii="宋体" w:hAnsi="宋体" w:cs="宋体"/>
          <w:sz w:val="24"/>
        </w:rPr>
      </w:pPr>
      <w:r>
        <w:rPr>
          <w:rFonts w:hint="eastAsia" w:ascii="宋体" w:hAnsi="宋体" w:cs="宋体"/>
          <w:sz w:val="24"/>
        </w:rPr>
        <w:t xml:space="preserve">    要求具备《中华人民共和国传染病报告卡》弹卡、填卡、校验、审核、查询、导出、打印、上传CDC功能。  </w:t>
      </w:r>
    </w:p>
    <w:p>
      <w:pPr>
        <w:spacing w:line="360" w:lineRule="auto"/>
        <w:rPr>
          <w:rFonts w:ascii="宋体" w:hAnsi="宋体" w:cs="宋体"/>
          <w:sz w:val="24"/>
        </w:rPr>
      </w:pPr>
      <w:r>
        <w:rPr>
          <w:rFonts w:hint="eastAsia" w:ascii="宋体" w:hAnsi="宋体" w:cs="宋体"/>
          <w:sz w:val="24"/>
        </w:rPr>
        <w:t xml:space="preserve">    具体功能要求如下：</w:t>
      </w:r>
    </w:p>
    <w:p>
      <w:pPr>
        <w:numPr>
          <w:ilvl w:val="0"/>
          <w:numId w:val="9"/>
        </w:numPr>
        <w:spacing w:line="360" w:lineRule="auto"/>
        <w:rPr>
          <w:rFonts w:ascii="宋体" w:hAnsi="宋体" w:cs="宋体"/>
          <w:sz w:val="24"/>
        </w:rPr>
      </w:pPr>
      <w:r>
        <w:rPr>
          <w:rFonts w:hint="eastAsia" w:ascii="宋体" w:hAnsi="宋体" w:cs="宋体"/>
          <w:sz w:val="24"/>
        </w:rPr>
        <w:t>传染病报告卡填报与审核</w:t>
      </w:r>
    </w:p>
    <w:p>
      <w:pPr>
        <w:spacing w:line="360" w:lineRule="auto"/>
        <w:ind w:firstLine="480"/>
        <w:rPr>
          <w:rFonts w:ascii="宋体" w:hAnsi="宋体" w:cs="宋体"/>
          <w:iCs/>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iCs/>
          <w:sz w:val="24"/>
        </w:rPr>
        <w:t>传染病报告卡填报</w:t>
      </w:r>
    </w:p>
    <w:p>
      <w:pPr>
        <w:spacing w:line="360" w:lineRule="auto"/>
        <w:ind w:left="420" w:leftChars="200"/>
        <w:rPr>
          <w:rFonts w:ascii="宋体" w:hAnsi="宋体" w:cs="宋体"/>
          <w:sz w:val="24"/>
        </w:rPr>
      </w:pPr>
      <w:r>
        <w:rPr>
          <w:rFonts w:hint="eastAsia" w:ascii="宋体" w:hAnsi="宋体" w:cs="宋体"/>
          <w:sz w:val="24"/>
        </w:rPr>
        <w:t>具备传染病报告卡触发规则设置、过滤规则设置、强制填卡设置等功能。</w:t>
      </w:r>
    </w:p>
    <w:p>
      <w:pPr>
        <w:spacing w:line="360" w:lineRule="auto"/>
        <w:ind w:left="420" w:leftChars="200"/>
        <w:rPr>
          <w:rFonts w:ascii="宋体" w:hAnsi="宋体" w:cs="宋体"/>
          <w:sz w:val="24"/>
        </w:rPr>
      </w:pPr>
      <w:r>
        <w:rPr>
          <w:rFonts w:hint="eastAsia" w:ascii="宋体" w:hAnsi="宋体" w:cs="宋体"/>
          <w:sz w:val="24"/>
        </w:rPr>
        <w:t>具备自动触发传染病报告卡功能，也具备主动填卡功能。</w:t>
      </w:r>
    </w:p>
    <w:p>
      <w:pPr>
        <w:spacing w:line="360" w:lineRule="auto"/>
        <w:ind w:left="420" w:leftChars="200"/>
        <w:rPr>
          <w:rFonts w:ascii="宋体" w:hAnsi="宋体" w:cs="宋体"/>
          <w:sz w:val="24"/>
        </w:rPr>
      </w:pPr>
      <w:r>
        <w:rPr>
          <w:rFonts w:hint="eastAsia" w:ascii="宋体" w:hAnsi="宋体" w:cs="宋体"/>
          <w:sz w:val="24"/>
        </w:rPr>
        <w:t>具备填卡时自动获取患者基础信息（社会学信息、就诊信息、疾病信息）功能。</w:t>
      </w:r>
    </w:p>
    <w:p>
      <w:pPr>
        <w:spacing w:line="360" w:lineRule="auto"/>
        <w:ind w:left="420" w:leftChars="200"/>
        <w:rPr>
          <w:rFonts w:ascii="宋体" w:hAnsi="宋体" w:cs="宋体"/>
          <w:sz w:val="24"/>
        </w:rPr>
      </w:pPr>
      <w:r>
        <w:rPr>
          <w:rFonts w:hint="eastAsia" w:ascii="宋体" w:hAnsi="宋体" w:cs="宋体"/>
          <w:sz w:val="24"/>
        </w:rPr>
        <w:t>具备填卡时展示当前病例的历史传染病报告卡功能。</w:t>
      </w:r>
    </w:p>
    <w:p>
      <w:pPr>
        <w:spacing w:line="360" w:lineRule="auto"/>
        <w:ind w:left="420" w:leftChars="200"/>
        <w:rPr>
          <w:rFonts w:ascii="宋体" w:hAnsi="宋体" w:cs="宋体"/>
          <w:sz w:val="24"/>
        </w:rPr>
      </w:pPr>
      <w:r>
        <w:rPr>
          <w:rFonts w:hint="eastAsia" w:ascii="宋体" w:hAnsi="宋体" w:cs="宋体"/>
          <w:sz w:val="24"/>
        </w:rPr>
        <w:t>报卡提交时具备逻辑校验功能，不符合校验规则，则进行提示，提示项可集中展示。</w:t>
      </w:r>
    </w:p>
    <w:p>
      <w:pPr>
        <w:spacing w:line="360" w:lineRule="auto"/>
        <w:ind w:left="420" w:leftChars="200"/>
        <w:rPr>
          <w:rFonts w:ascii="宋体" w:hAnsi="宋体" w:cs="宋体"/>
          <w:sz w:val="24"/>
        </w:rPr>
      </w:pPr>
      <w:r>
        <w:rPr>
          <w:rFonts w:hint="eastAsia" w:ascii="宋体" w:hAnsi="宋体" w:cs="宋体"/>
          <w:sz w:val="24"/>
        </w:rPr>
        <w:t>具备报告卡暂存/保存功能，暂存/保存不做逻辑校验。</w:t>
      </w:r>
    </w:p>
    <w:p>
      <w:pPr>
        <w:spacing w:line="360" w:lineRule="auto"/>
        <w:rPr>
          <w:rFonts w:ascii="宋体" w:hAnsi="宋体" w:cs="宋体"/>
          <w:sz w:val="24"/>
        </w:rPr>
      </w:pPr>
      <w:r>
        <w:rPr>
          <w:rFonts w:hint="eastAsia" w:ascii="宋体" w:hAnsi="宋体" w:cs="宋体"/>
          <w:sz w:val="24"/>
        </w:rPr>
        <w:t xml:space="preserve">    具备报告卡编号自动生成功能，且卡片编号规则可设置。</w:t>
      </w:r>
    </w:p>
    <w:p>
      <w:pPr>
        <w:spacing w:line="360" w:lineRule="auto"/>
        <w:ind w:left="420" w:leftChars="200"/>
        <w:rPr>
          <w:rFonts w:ascii="宋体" w:hAnsi="宋体" w:cs="宋体"/>
          <w:iCs/>
          <w:sz w:val="24"/>
        </w:rPr>
      </w:pPr>
      <w:r>
        <w:rPr>
          <w:rFonts w:hint="eastAsia" w:ascii="宋体" w:hAnsi="宋体" w:cs="宋体"/>
          <w:iCs/>
          <w:sz w:val="24"/>
        </w:rPr>
        <w:fldChar w:fldCharType="begin"/>
      </w:r>
      <w:r>
        <w:rPr>
          <w:rFonts w:hint="eastAsia" w:ascii="宋体" w:hAnsi="宋体" w:cs="宋体"/>
          <w:iCs/>
          <w:sz w:val="24"/>
        </w:rPr>
        <w:instrText xml:space="preserve"> = 2 \* GB3 \* MERGEFORMAT </w:instrText>
      </w:r>
      <w:r>
        <w:rPr>
          <w:rFonts w:hint="eastAsia" w:ascii="宋体" w:hAnsi="宋体" w:cs="宋体"/>
          <w:iCs/>
          <w:sz w:val="24"/>
        </w:rPr>
        <w:fldChar w:fldCharType="separate"/>
      </w:r>
      <w:r>
        <w:rPr>
          <w:rFonts w:hint="eastAsia" w:ascii="宋体" w:hAnsi="宋体" w:cs="宋体"/>
          <w:sz w:val="24"/>
        </w:rPr>
        <w:t>②</w:t>
      </w:r>
      <w:r>
        <w:rPr>
          <w:rFonts w:hint="eastAsia" w:ascii="宋体" w:hAnsi="宋体" w:cs="宋体"/>
          <w:iCs/>
          <w:sz w:val="24"/>
        </w:rPr>
        <w:fldChar w:fldCharType="end"/>
      </w:r>
      <w:r>
        <w:rPr>
          <w:rFonts w:hint="eastAsia" w:ascii="宋体" w:hAnsi="宋体" w:cs="宋体"/>
          <w:iCs/>
          <w:sz w:val="24"/>
        </w:rPr>
        <w:t>传染病报告卡审核</w:t>
      </w:r>
    </w:p>
    <w:p>
      <w:pPr>
        <w:spacing w:line="360" w:lineRule="auto"/>
        <w:ind w:left="210" w:leftChars="100" w:firstLine="240" w:firstLineChars="100"/>
        <w:rPr>
          <w:rFonts w:ascii="宋体" w:hAnsi="宋体" w:cs="宋体"/>
          <w:sz w:val="24"/>
        </w:rPr>
      </w:pPr>
      <w:r>
        <w:rPr>
          <w:rFonts w:hint="eastAsia" w:ascii="宋体" w:hAnsi="宋体" w:cs="宋体"/>
          <w:sz w:val="24"/>
        </w:rPr>
        <w:t>具备任务集中处理功能，待审核任务可下钻查看详情。</w:t>
      </w:r>
    </w:p>
    <w:p>
      <w:pPr>
        <w:spacing w:line="360" w:lineRule="auto"/>
        <w:ind w:left="420" w:leftChars="200"/>
        <w:rPr>
          <w:rFonts w:ascii="宋体" w:hAnsi="宋体" w:cs="宋体"/>
          <w:sz w:val="24"/>
        </w:rPr>
      </w:pPr>
      <w:r>
        <w:rPr>
          <w:rFonts w:hint="eastAsia" w:ascii="宋体" w:hAnsi="宋体" w:cs="宋体"/>
          <w:sz w:val="24"/>
        </w:rPr>
        <w:t>具备报告卡审核通过、退卡、删卡、修订功能。</w:t>
      </w:r>
    </w:p>
    <w:p>
      <w:pPr>
        <w:spacing w:line="360" w:lineRule="auto"/>
        <w:ind w:left="420" w:leftChars="200"/>
        <w:rPr>
          <w:rFonts w:ascii="宋体" w:hAnsi="宋体" w:cs="宋体"/>
          <w:sz w:val="24"/>
        </w:rPr>
      </w:pPr>
      <w:r>
        <w:rPr>
          <w:rFonts w:hint="eastAsia" w:ascii="宋体" w:hAnsi="宋体" w:cs="宋体"/>
          <w:sz w:val="24"/>
        </w:rPr>
        <w:t>具备查看选中病例的报告卡详细信息功能。</w:t>
      </w:r>
    </w:p>
    <w:p>
      <w:pPr>
        <w:spacing w:line="360" w:lineRule="auto"/>
        <w:ind w:left="420" w:leftChars="200"/>
        <w:rPr>
          <w:rFonts w:ascii="宋体" w:hAnsi="宋体" w:cs="宋体"/>
          <w:sz w:val="24"/>
        </w:rPr>
      </w:pPr>
      <w:r>
        <w:rPr>
          <w:rFonts w:hint="eastAsia" w:ascii="宋体" w:hAnsi="宋体" w:cs="宋体"/>
          <w:sz w:val="24"/>
        </w:rPr>
        <w:t>具备批量审核、批量打印以及单张审核、单张打印功能。</w:t>
      </w:r>
    </w:p>
    <w:p>
      <w:pPr>
        <w:spacing w:line="360" w:lineRule="auto"/>
        <w:ind w:left="210" w:leftChars="100"/>
        <w:rPr>
          <w:rFonts w:ascii="宋体" w:hAnsi="宋体" w:cs="宋体"/>
          <w:sz w:val="24"/>
        </w:rPr>
      </w:pPr>
      <w:r>
        <w:rPr>
          <w:rFonts w:hint="eastAsia" w:ascii="宋体" w:hAnsi="宋体" w:cs="宋体"/>
          <w:sz w:val="24"/>
        </w:rPr>
        <w:t xml:space="preserve">  具备报告卡筛选和查询功能，可根据报告卡状态（已保存未提交、已提交未审核、已审核、已退卡、已作废）、院区、科室/病区、时间进行筛选和查询。</w:t>
      </w:r>
    </w:p>
    <w:p>
      <w:pPr>
        <w:spacing w:line="360" w:lineRule="auto"/>
        <w:ind w:firstLine="480" w:firstLineChars="200"/>
        <w:rPr>
          <w:rFonts w:ascii="宋体" w:hAnsi="宋体" w:cs="宋体"/>
          <w:sz w:val="24"/>
        </w:rPr>
      </w:pPr>
      <w:r>
        <w:rPr>
          <w:rFonts w:hint="eastAsia" w:ascii="宋体" w:hAnsi="宋体" w:cs="宋体"/>
          <w:i/>
          <w:sz w:val="24"/>
        </w:rPr>
        <w:fldChar w:fldCharType="begin"/>
      </w:r>
      <w:r>
        <w:rPr>
          <w:rFonts w:hint="eastAsia" w:ascii="宋体" w:hAnsi="宋体" w:cs="宋体"/>
          <w:i/>
          <w:sz w:val="24"/>
        </w:rPr>
        <w:instrText xml:space="preserve"> = 3 \* GB3 \* MERGEFORMAT </w:instrText>
      </w:r>
      <w:r>
        <w:rPr>
          <w:rFonts w:hint="eastAsia" w:ascii="宋体" w:hAnsi="宋体" w:cs="宋体"/>
          <w:i/>
          <w:sz w:val="24"/>
        </w:rPr>
        <w:fldChar w:fldCharType="separate"/>
      </w:r>
      <w:r>
        <w:rPr>
          <w:rFonts w:hint="eastAsia" w:ascii="宋体" w:hAnsi="宋体" w:cs="宋体"/>
          <w:sz w:val="24"/>
        </w:rPr>
        <w:t>③</w:t>
      </w:r>
      <w:r>
        <w:rPr>
          <w:rFonts w:hint="eastAsia" w:ascii="宋体" w:hAnsi="宋体" w:cs="宋体"/>
          <w:i/>
          <w:sz w:val="24"/>
        </w:rPr>
        <w:fldChar w:fldCharType="end"/>
      </w:r>
      <w:r>
        <w:rPr>
          <w:rFonts w:hint="eastAsia" w:ascii="宋体" w:hAnsi="宋体" w:cs="宋体"/>
          <w:iCs/>
          <w:sz w:val="24"/>
        </w:rPr>
        <w:t>传染病报告卡登记簿</w:t>
      </w:r>
    </w:p>
    <w:p>
      <w:pPr>
        <w:spacing w:line="360" w:lineRule="auto"/>
        <w:ind w:left="210" w:leftChars="100"/>
        <w:rPr>
          <w:rFonts w:ascii="宋体" w:hAnsi="宋体" w:cs="宋体"/>
          <w:sz w:val="24"/>
        </w:rPr>
      </w:pPr>
      <w:r>
        <w:rPr>
          <w:rFonts w:hint="eastAsia" w:ascii="宋体" w:hAnsi="宋体" w:cs="宋体"/>
          <w:sz w:val="24"/>
        </w:rPr>
        <w:t xml:space="preserve">  具备传染病报告卡自动生成传染病登记簿功能。</w:t>
      </w:r>
    </w:p>
    <w:p>
      <w:pPr>
        <w:spacing w:line="360" w:lineRule="auto"/>
        <w:ind w:left="210" w:leftChars="100"/>
        <w:rPr>
          <w:rFonts w:ascii="宋体" w:hAnsi="宋体" w:cs="宋体"/>
          <w:sz w:val="24"/>
        </w:rPr>
      </w:pPr>
      <w:r>
        <w:rPr>
          <w:rFonts w:hint="eastAsia" w:ascii="宋体" w:hAnsi="宋体" w:cs="宋体"/>
          <w:sz w:val="24"/>
        </w:rPr>
        <w:t xml:space="preserve">  具备登记簿病例筛选和查询功能，可根据日期、科室/病区等条件查询。</w:t>
      </w:r>
    </w:p>
    <w:p>
      <w:pPr>
        <w:spacing w:line="360" w:lineRule="auto"/>
        <w:ind w:left="210" w:leftChars="100"/>
        <w:rPr>
          <w:rFonts w:ascii="宋体" w:hAnsi="宋体" w:cs="宋体"/>
          <w:sz w:val="24"/>
        </w:rPr>
      </w:pPr>
      <w:r>
        <w:rPr>
          <w:rFonts w:hint="eastAsia" w:ascii="宋体" w:hAnsi="宋体" w:cs="宋体"/>
          <w:sz w:val="24"/>
        </w:rPr>
        <w:t xml:space="preserve">  具备传染病报告卡登记簿导出、打印功能。</w:t>
      </w:r>
    </w:p>
    <w:p>
      <w:pPr>
        <w:numPr>
          <w:ilvl w:val="0"/>
          <w:numId w:val="9"/>
        </w:numPr>
        <w:spacing w:line="360" w:lineRule="auto"/>
        <w:rPr>
          <w:rFonts w:ascii="宋体" w:hAnsi="宋体" w:cs="宋体"/>
          <w:sz w:val="24"/>
        </w:rPr>
      </w:pPr>
      <w:r>
        <w:rPr>
          <w:rFonts w:hint="eastAsia" w:ascii="宋体" w:hAnsi="宋体" w:cs="宋体"/>
          <w:sz w:val="24"/>
        </w:rPr>
        <w:t>传染病报告卡上传接口</w:t>
      </w:r>
    </w:p>
    <w:p>
      <w:pPr>
        <w:spacing w:line="360" w:lineRule="auto"/>
        <w:ind w:firstLine="480" w:firstLineChars="200"/>
        <w:rPr>
          <w:rFonts w:ascii="宋体" w:hAnsi="宋体" w:cs="宋体"/>
          <w:sz w:val="24"/>
        </w:rPr>
      </w:pPr>
      <w:r>
        <w:rPr>
          <w:rFonts w:hint="eastAsia" w:ascii="宋体" w:hAnsi="宋体" w:cs="宋体"/>
          <w:sz w:val="24"/>
        </w:rPr>
        <w:t>支持导出传染病报告卡信息（excel格式）。</w:t>
      </w:r>
    </w:p>
    <w:p>
      <w:pPr>
        <w:numPr>
          <w:ilvl w:val="0"/>
          <w:numId w:val="8"/>
        </w:numPr>
        <w:spacing w:line="360" w:lineRule="auto"/>
        <w:rPr>
          <w:rFonts w:ascii="宋体" w:hAnsi="宋体" w:cs="宋体"/>
          <w:b/>
          <w:bCs/>
          <w:sz w:val="24"/>
        </w:rPr>
      </w:pPr>
      <w:r>
        <w:rPr>
          <w:rFonts w:hint="eastAsia" w:ascii="宋体" w:hAnsi="宋体" w:cs="宋体"/>
          <w:b/>
          <w:bCs/>
          <w:sz w:val="24"/>
        </w:rPr>
        <w:t>院内疾控助手</w:t>
      </w:r>
    </w:p>
    <w:p>
      <w:pPr>
        <w:spacing w:line="360" w:lineRule="auto"/>
        <w:ind w:firstLine="240" w:firstLineChars="100"/>
        <w:rPr>
          <w:rFonts w:ascii="宋体" w:hAnsi="宋体" w:cs="宋体"/>
          <w:bCs/>
          <w:sz w:val="24"/>
        </w:rPr>
      </w:pPr>
      <w:r>
        <w:rPr>
          <w:rFonts w:hint="eastAsia" w:ascii="宋体" w:hAnsi="宋体" w:cs="宋体"/>
          <w:bCs/>
          <w:sz w:val="24"/>
        </w:rPr>
        <w:t>1）报告卡未报查询</w:t>
      </w:r>
    </w:p>
    <w:p>
      <w:pPr>
        <w:spacing w:line="360" w:lineRule="auto"/>
        <w:rPr>
          <w:rFonts w:ascii="宋体" w:hAnsi="宋体" w:cs="宋体"/>
          <w:sz w:val="24"/>
        </w:rPr>
      </w:pPr>
      <w:r>
        <w:rPr>
          <w:rFonts w:hint="eastAsia" w:ascii="宋体" w:hAnsi="宋体" w:cs="宋体"/>
          <w:sz w:val="24"/>
        </w:rPr>
        <w:t xml:space="preserve">    报告卡未报包含：弹卡未填、预警未报、过滤时限内无需上报。</w:t>
      </w:r>
    </w:p>
    <w:p>
      <w:pPr>
        <w:spacing w:line="360" w:lineRule="auto"/>
        <w:ind w:left="210" w:leftChars="100"/>
        <w:rPr>
          <w:rFonts w:ascii="宋体" w:hAnsi="宋体" w:cs="宋体"/>
          <w:sz w:val="24"/>
        </w:rPr>
      </w:pPr>
      <w:r>
        <w:rPr>
          <w:rFonts w:hint="eastAsia" w:ascii="宋体" w:hAnsi="宋体" w:cs="宋体"/>
          <w:sz w:val="24"/>
        </w:rPr>
        <w:t xml:space="preserve">  未报列表展示患者基本信息、报卡名称、未报原因，需具备自定义显示字段功能。</w:t>
      </w:r>
    </w:p>
    <w:p>
      <w:pPr>
        <w:spacing w:line="360" w:lineRule="auto"/>
        <w:ind w:left="240" w:hanging="240" w:hangingChars="100"/>
        <w:rPr>
          <w:rFonts w:ascii="宋体" w:hAnsi="宋体" w:cs="宋体"/>
          <w:sz w:val="24"/>
        </w:rPr>
      </w:pPr>
      <w:r>
        <w:rPr>
          <w:rFonts w:hint="eastAsia" w:ascii="宋体" w:hAnsi="宋体" w:cs="宋体"/>
          <w:sz w:val="24"/>
        </w:rPr>
        <w:t xml:space="preserve">    具备组合条件查询未填报告卡列表功能，包含：按时段、患者来源、科室、病区、患者、报告卡名称、操作医生进行查询。</w:t>
      </w:r>
    </w:p>
    <w:p>
      <w:pPr>
        <w:spacing w:line="360" w:lineRule="auto"/>
        <w:ind w:left="210" w:leftChars="100"/>
        <w:rPr>
          <w:rFonts w:ascii="宋体" w:hAnsi="宋体" w:cs="宋体"/>
          <w:sz w:val="24"/>
        </w:rPr>
      </w:pPr>
      <w:r>
        <w:rPr>
          <w:rFonts w:hint="eastAsia" w:ascii="宋体" w:hAnsi="宋体" w:cs="宋体"/>
          <w:sz w:val="24"/>
        </w:rPr>
        <w:t xml:space="preserve">  具备未报查询结果按周、月对比功能，可以图形化展示对比结果。</w:t>
      </w:r>
    </w:p>
    <w:p>
      <w:pPr>
        <w:spacing w:line="360" w:lineRule="auto"/>
        <w:ind w:left="210" w:leftChars="100"/>
        <w:rPr>
          <w:rFonts w:ascii="宋体" w:hAnsi="宋体" w:cs="宋体"/>
          <w:sz w:val="24"/>
        </w:rPr>
      </w:pPr>
      <w:r>
        <w:rPr>
          <w:rFonts w:hint="eastAsia" w:ascii="宋体" w:hAnsi="宋体" w:cs="宋体"/>
          <w:sz w:val="24"/>
        </w:rPr>
        <w:t xml:space="preserve">  具备查询列表导出、打印功能。</w:t>
      </w:r>
    </w:p>
    <w:p>
      <w:pPr>
        <w:spacing w:line="360" w:lineRule="auto"/>
        <w:ind w:firstLine="240" w:firstLineChars="100"/>
        <w:rPr>
          <w:rFonts w:ascii="宋体" w:hAnsi="宋体" w:cs="宋体"/>
          <w:bCs/>
          <w:sz w:val="24"/>
        </w:rPr>
      </w:pPr>
      <w:r>
        <w:rPr>
          <w:rFonts w:hint="eastAsia" w:ascii="宋体" w:hAnsi="宋体" w:cs="宋体"/>
          <w:bCs/>
          <w:sz w:val="24"/>
        </w:rPr>
        <w:t>2）患者诊疗视图查阅</w:t>
      </w:r>
    </w:p>
    <w:p>
      <w:pPr>
        <w:spacing w:line="360" w:lineRule="auto"/>
        <w:ind w:left="210" w:leftChars="100"/>
        <w:rPr>
          <w:rFonts w:ascii="宋体" w:hAnsi="宋体" w:cs="宋体"/>
          <w:sz w:val="24"/>
        </w:rPr>
      </w:pPr>
      <w:r>
        <w:rPr>
          <w:rFonts w:hint="eastAsia" w:ascii="宋体" w:hAnsi="宋体" w:cs="宋体"/>
          <w:sz w:val="24"/>
        </w:rPr>
        <w:t xml:space="preserve">  支持调阅院内患者360，以便查阅患者诊疗相关信息，例如检验报告结果、检查报告结果、处方/医嘱等。</w:t>
      </w:r>
    </w:p>
    <w:p>
      <w:pPr>
        <w:pStyle w:val="2"/>
        <w:numPr>
          <w:ilvl w:val="0"/>
          <w:numId w:val="10"/>
        </w:numPr>
        <w:spacing w:line="360" w:lineRule="auto"/>
        <w:ind w:left="210" w:leftChars="0"/>
        <w:rPr>
          <w:rFonts w:ascii="宋体" w:hAnsi="宋体" w:cs="宋体"/>
          <w:sz w:val="24"/>
        </w:rPr>
      </w:pPr>
      <w:r>
        <w:rPr>
          <w:rFonts w:hint="eastAsia" w:ascii="宋体" w:hAnsi="宋体" w:cs="宋体"/>
          <w:sz w:val="24"/>
        </w:rPr>
        <w:t>消息提醒</w:t>
      </w:r>
    </w:p>
    <w:p>
      <w:pPr>
        <w:pStyle w:val="2"/>
        <w:spacing w:line="360" w:lineRule="auto"/>
        <w:ind w:left="0" w:leftChars="0" w:firstLine="480" w:firstLineChars="200"/>
        <w:rPr>
          <w:rFonts w:ascii="宋体" w:hAnsi="宋体" w:cs="宋体"/>
          <w:sz w:val="24"/>
        </w:rPr>
      </w:pPr>
      <w:r>
        <w:rPr>
          <w:rFonts w:hint="eastAsia" w:ascii="宋体" w:hAnsi="宋体" w:cs="宋体"/>
          <w:sz w:val="24"/>
        </w:rPr>
        <w:t>PC端消息提醒，预警信息可推送至临床医生工作站以及管理科室的信息系统。</w:t>
      </w:r>
    </w:p>
    <w:p>
      <w:pPr>
        <w:numPr>
          <w:ilvl w:val="0"/>
          <w:numId w:val="8"/>
        </w:numPr>
        <w:spacing w:line="360" w:lineRule="auto"/>
        <w:rPr>
          <w:rFonts w:ascii="宋体" w:hAnsi="宋体" w:cs="宋体"/>
          <w:b/>
          <w:bCs/>
          <w:sz w:val="24"/>
        </w:rPr>
      </w:pPr>
      <w:r>
        <w:rPr>
          <w:rFonts w:hint="eastAsia" w:ascii="宋体" w:hAnsi="宋体" w:cs="宋体"/>
          <w:b/>
          <w:bCs/>
          <w:sz w:val="24"/>
        </w:rPr>
        <w:t>疾病智能监测</w:t>
      </w:r>
    </w:p>
    <w:p>
      <w:pPr>
        <w:spacing w:line="360" w:lineRule="auto"/>
        <w:ind w:firstLine="240" w:firstLineChars="100"/>
        <w:rPr>
          <w:rFonts w:ascii="宋体" w:hAnsi="宋体" w:cs="宋体"/>
          <w:b/>
          <w:bCs/>
          <w:sz w:val="24"/>
        </w:rPr>
      </w:pPr>
      <w:r>
        <w:rPr>
          <w:rFonts w:hint="eastAsia" w:ascii="宋体" w:hAnsi="宋体" w:cs="宋体"/>
          <w:bCs/>
          <w:sz w:val="24"/>
        </w:rPr>
        <w:t>1）传染病疑似病例搜索设置</w:t>
      </w:r>
    </w:p>
    <w:p>
      <w:pPr>
        <w:spacing w:line="360" w:lineRule="auto"/>
        <w:ind w:left="240" w:hanging="240" w:hangingChars="100"/>
        <w:rPr>
          <w:rFonts w:ascii="宋体" w:hAnsi="宋体" w:cs="宋体"/>
          <w:sz w:val="24"/>
        </w:rPr>
      </w:pPr>
      <w:r>
        <w:rPr>
          <w:rFonts w:hint="eastAsia" w:ascii="宋体" w:hAnsi="宋体" w:cs="宋体"/>
          <w:sz w:val="24"/>
        </w:rPr>
        <w:t xml:space="preserve">    具备国家法定传染性疾病（含子类）疑似病例预警设置功能，设置包括但不限于主诉（关键症状）、检验结果、检查结果、用药记录。</w:t>
      </w:r>
    </w:p>
    <w:p>
      <w:pPr>
        <w:spacing w:line="360" w:lineRule="auto"/>
        <w:rPr>
          <w:rFonts w:ascii="宋体" w:hAnsi="宋体" w:cs="宋体"/>
          <w:sz w:val="24"/>
        </w:rPr>
      </w:pPr>
      <w:r>
        <w:rPr>
          <w:rFonts w:hint="eastAsia" w:ascii="宋体" w:hAnsi="宋体" w:cs="宋体"/>
          <w:sz w:val="24"/>
        </w:rPr>
        <w:t xml:space="preserve">    具备预警规则调整功能功能。</w:t>
      </w:r>
    </w:p>
    <w:p>
      <w:pPr>
        <w:spacing w:line="360" w:lineRule="auto"/>
        <w:ind w:left="210" w:leftChars="100"/>
        <w:rPr>
          <w:rFonts w:ascii="宋体" w:hAnsi="宋体" w:cs="宋体"/>
          <w:sz w:val="24"/>
        </w:rPr>
      </w:pPr>
      <w:r>
        <w:rPr>
          <w:rFonts w:hint="eastAsia" w:ascii="宋体" w:hAnsi="宋体" w:cs="宋体"/>
          <w:sz w:val="24"/>
        </w:rPr>
        <w:t xml:space="preserve">  对于非结构化文本，支持与NLP自然语言处理引擎对接。</w:t>
      </w:r>
    </w:p>
    <w:p>
      <w:pPr>
        <w:spacing w:line="360" w:lineRule="auto"/>
        <w:ind w:firstLine="240" w:firstLineChars="100"/>
        <w:rPr>
          <w:rFonts w:ascii="宋体" w:hAnsi="宋体" w:cs="宋体"/>
          <w:sz w:val="24"/>
        </w:rPr>
      </w:pPr>
      <w:r>
        <w:rPr>
          <w:rFonts w:hint="eastAsia" w:ascii="宋体" w:hAnsi="宋体" w:cs="宋体"/>
          <w:sz w:val="24"/>
        </w:rPr>
        <w:t>2）传染病疑似病例查询</w:t>
      </w:r>
    </w:p>
    <w:p>
      <w:pPr>
        <w:spacing w:line="360" w:lineRule="auto"/>
        <w:rPr>
          <w:rFonts w:ascii="宋体" w:hAnsi="宋体" w:cs="宋体"/>
          <w:sz w:val="24"/>
        </w:rPr>
      </w:pPr>
      <w:r>
        <w:rPr>
          <w:rFonts w:hint="eastAsia" w:ascii="宋体" w:hAnsi="宋体" w:cs="宋体"/>
          <w:sz w:val="24"/>
        </w:rPr>
        <w:t xml:space="preserve">    具备在疾病监测管理端和医生站展示、查询传染病疑似病例列表功能，可按按医生、     科室、病区、按门诊/住院、就诊日期/入院日期、预警日期、患者姓名、患者门诊号/住院号查询，并可按任一字段自定义排序。</w:t>
      </w:r>
    </w:p>
    <w:p>
      <w:pPr>
        <w:spacing w:line="360" w:lineRule="auto"/>
        <w:rPr>
          <w:rFonts w:ascii="宋体" w:hAnsi="宋体" w:cs="宋体"/>
          <w:sz w:val="24"/>
        </w:rPr>
      </w:pPr>
      <w:r>
        <w:rPr>
          <w:rFonts w:hint="eastAsia" w:ascii="宋体" w:hAnsi="宋体" w:cs="宋体"/>
          <w:sz w:val="24"/>
        </w:rPr>
        <w:t xml:space="preserve">    具备展示疑似病例的预警依据功能，预警依据与疑似病例列表可展示在同一界面。</w:t>
      </w:r>
    </w:p>
    <w:p>
      <w:pPr>
        <w:spacing w:line="360" w:lineRule="auto"/>
        <w:rPr>
          <w:rFonts w:ascii="宋体" w:hAnsi="宋体" w:cs="宋体"/>
          <w:sz w:val="24"/>
        </w:rPr>
      </w:pPr>
      <w:r>
        <w:rPr>
          <w:rFonts w:hint="eastAsia" w:ascii="宋体" w:hAnsi="宋体" w:cs="宋体"/>
          <w:sz w:val="24"/>
        </w:rPr>
        <w:t xml:space="preserve">    对于疑似病例，具备进行确认或排除操作功能，操作后，展示操作人员、处理日期。</w:t>
      </w:r>
    </w:p>
    <w:p>
      <w:pPr>
        <w:spacing w:line="360" w:lineRule="auto"/>
        <w:ind w:left="210" w:leftChars="100"/>
        <w:rPr>
          <w:rFonts w:ascii="宋体" w:hAnsi="宋体" w:cs="宋体"/>
          <w:sz w:val="24"/>
        </w:rPr>
      </w:pPr>
      <w:r>
        <w:rPr>
          <w:rFonts w:hint="eastAsia" w:ascii="宋体" w:hAnsi="宋体" w:cs="宋体"/>
          <w:sz w:val="24"/>
        </w:rPr>
        <w:t xml:space="preserve">  具备预警列表导出、打印功能。</w:t>
      </w:r>
    </w:p>
    <w:p>
      <w:pPr>
        <w:spacing w:line="360" w:lineRule="auto"/>
        <w:ind w:left="210" w:leftChars="100"/>
        <w:rPr>
          <w:rFonts w:ascii="宋体" w:hAnsi="宋体" w:cs="宋体"/>
          <w:sz w:val="24"/>
        </w:rPr>
      </w:pPr>
      <w:r>
        <w:rPr>
          <w:rFonts w:hint="eastAsia" w:ascii="宋体" w:hAnsi="宋体" w:cs="宋体"/>
          <w:sz w:val="24"/>
        </w:rPr>
        <w:t xml:space="preserve">  支持与消息管理器、短信平台等对接，实现预警信息实时推送功能。</w:t>
      </w:r>
    </w:p>
    <w:p>
      <w:pPr>
        <w:spacing w:line="360" w:lineRule="auto"/>
        <w:ind w:firstLine="240" w:firstLineChars="100"/>
        <w:rPr>
          <w:rFonts w:ascii="宋体" w:hAnsi="宋体" w:cs="宋体"/>
          <w:sz w:val="24"/>
        </w:rPr>
      </w:pPr>
      <w:r>
        <w:rPr>
          <w:rFonts w:hint="eastAsia" w:ascii="宋体" w:hAnsi="宋体" w:cs="宋体"/>
          <w:sz w:val="24"/>
        </w:rPr>
        <w:t>3）传染病专病统计分析</w:t>
      </w:r>
    </w:p>
    <w:p>
      <w:pPr>
        <w:spacing w:line="360" w:lineRule="auto"/>
        <w:ind w:left="240" w:hanging="240" w:hangingChars="100"/>
        <w:rPr>
          <w:rFonts w:ascii="宋体" w:hAnsi="宋体" w:cs="宋体"/>
          <w:sz w:val="24"/>
        </w:rPr>
      </w:pPr>
      <w:r>
        <w:rPr>
          <w:rFonts w:hint="eastAsia" w:ascii="宋体" w:hAnsi="宋体" w:cs="宋体"/>
          <w:sz w:val="24"/>
        </w:rPr>
        <w:t xml:space="preserve">    具备按传染病分类统计报告卡数量功能，可查看甲类、乙类、丙类、其他占比，可查看至少前五位病种的占比和发病趋势。</w:t>
      </w:r>
    </w:p>
    <w:p>
      <w:pPr>
        <w:spacing w:line="360" w:lineRule="auto"/>
        <w:ind w:left="240" w:hanging="240" w:hangingChars="100"/>
        <w:rPr>
          <w:rFonts w:ascii="宋体" w:hAnsi="宋体" w:cs="宋体"/>
          <w:sz w:val="24"/>
        </w:rPr>
      </w:pPr>
      <w:r>
        <w:rPr>
          <w:rFonts w:hint="eastAsia" w:ascii="宋体" w:hAnsi="宋体" w:cs="宋体"/>
          <w:sz w:val="24"/>
        </w:rPr>
        <w:t xml:space="preserve">    具备统计疾病子类具体人数功能，例如病毒性肝炎中的甲肝、乙肝、丙肝、戊肝、丁肝、未分型占比。</w:t>
      </w:r>
    </w:p>
    <w:p>
      <w:pPr>
        <w:spacing w:line="360" w:lineRule="auto"/>
        <w:ind w:left="240" w:hanging="240" w:hangingChars="100"/>
        <w:rPr>
          <w:rFonts w:ascii="宋体" w:hAnsi="宋体" w:cs="宋体"/>
          <w:sz w:val="24"/>
        </w:rPr>
      </w:pPr>
      <w:r>
        <w:rPr>
          <w:rFonts w:hint="eastAsia" w:ascii="宋体" w:hAnsi="宋体" w:cs="宋体"/>
          <w:sz w:val="24"/>
        </w:rPr>
        <w:t xml:space="preserve">    具备对传染病病例进行社会学统计功能，图形化展示性别、年龄、人群分类、病人属于等分布情况。</w:t>
      </w:r>
    </w:p>
    <w:p>
      <w:pPr>
        <w:spacing w:line="360" w:lineRule="auto"/>
        <w:rPr>
          <w:rFonts w:ascii="宋体" w:hAnsi="宋体" w:cs="宋体"/>
          <w:sz w:val="24"/>
        </w:rPr>
      </w:pPr>
      <w:r>
        <w:rPr>
          <w:rFonts w:hint="eastAsia" w:ascii="宋体" w:hAnsi="宋体" w:cs="宋体"/>
          <w:sz w:val="24"/>
        </w:rPr>
        <w:t xml:space="preserve">    具备图形化展示统计分析结果功能，包含柱状图、饼图、条形图、折线图。</w:t>
      </w:r>
    </w:p>
    <w:p>
      <w:pPr>
        <w:spacing w:line="360" w:lineRule="auto"/>
        <w:ind w:left="210" w:leftChars="100"/>
        <w:rPr>
          <w:rFonts w:ascii="宋体" w:hAnsi="宋体" w:cs="宋体"/>
          <w:sz w:val="24"/>
        </w:rPr>
      </w:pPr>
      <w:r>
        <w:rPr>
          <w:rFonts w:hint="eastAsia" w:ascii="宋体" w:hAnsi="宋体" w:cs="宋体"/>
          <w:sz w:val="24"/>
        </w:rPr>
        <w:t xml:space="preserve">  具备新型冠状病毒肺炎专项分析展示功能。</w:t>
      </w:r>
    </w:p>
    <w:p>
      <w:pPr>
        <w:spacing w:line="360" w:lineRule="auto"/>
        <w:ind w:firstLine="480"/>
        <w:rPr>
          <w:rFonts w:ascii="宋体" w:hAnsi="宋体" w:cs="宋体"/>
          <w:sz w:val="24"/>
        </w:rPr>
      </w:pPr>
    </w:p>
    <w:bookmarkEnd w:id="11"/>
    <w:bookmarkEnd w:id="12"/>
    <w:bookmarkEnd w:id="13"/>
    <w:p>
      <w:pPr>
        <w:pStyle w:val="4"/>
        <w:keepLines w:val="0"/>
        <w:widowControl/>
        <w:tabs>
          <w:tab w:val="left" w:pos="426"/>
        </w:tabs>
        <w:overflowPunct w:val="0"/>
        <w:autoSpaceDE w:val="0"/>
        <w:autoSpaceDN w:val="0"/>
        <w:adjustRightInd w:val="0"/>
        <w:spacing w:before="0" w:after="0" w:line="360" w:lineRule="auto"/>
        <w:jc w:val="left"/>
        <w:textAlignment w:val="baseline"/>
        <w:rPr>
          <w:rFonts w:ascii="宋体" w:hAnsi="宋体" w:cs="宋体"/>
          <w:sz w:val="24"/>
          <w:szCs w:val="24"/>
        </w:rPr>
      </w:pPr>
      <w:r>
        <w:rPr>
          <w:rFonts w:hint="eastAsia" w:ascii="宋体" w:hAnsi="宋体" w:cs="宋体"/>
          <w:sz w:val="24"/>
          <w:szCs w:val="24"/>
        </w:rPr>
        <w:t>五、实施、验收与售后服务要求</w:t>
      </w:r>
    </w:p>
    <w:p>
      <w:pPr>
        <w:pStyle w:val="19"/>
        <w:numPr>
          <w:ilvl w:val="0"/>
          <w:numId w:val="11"/>
        </w:numPr>
        <w:spacing w:line="360" w:lineRule="auto"/>
        <w:ind w:firstLineChars="0"/>
        <w:rPr>
          <w:rFonts w:ascii="宋体" w:hAnsi="宋体" w:cs="宋体"/>
          <w:sz w:val="24"/>
          <w:szCs w:val="24"/>
        </w:rPr>
      </w:pPr>
      <w:r>
        <w:rPr>
          <w:rFonts w:hint="eastAsia" w:ascii="宋体" w:hAnsi="宋体" w:cs="宋体"/>
          <w:sz w:val="24"/>
          <w:szCs w:val="24"/>
        </w:rPr>
        <w:t>总体要求</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投标人应本着认真负责态度，组织技术队伍，认真做好项目的实施工作。在签订合同前，提出具体实施、服务、维护以及今后技术支持的措施计划和承诺。</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投标人必须提供项目实施计划，经用户方同意后，严格执行。如果遇到问题，由项目组提出项目变更说明，经医院和系统提供商确定后，修改计划。</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投标人应负责在项目验收时将系统的全部有关技术文件、资料、及安装、测试、验收报告等文档汇集成册交付用户方。</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结合医院实际情况，拟定详细的系统实施计划，包括同医院现有信息系统的对接、个性化定制、测试、试运行、培训及上线计划。承诺保证在合同规定时间内上线及上线后系统平稳运行。</w:t>
      </w:r>
    </w:p>
    <w:p>
      <w:pPr>
        <w:pStyle w:val="19"/>
        <w:numPr>
          <w:ilvl w:val="0"/>
          <w:numId w:val="11"/>
        </w:numPr>
        <w:spacing w:line="360" w:lineRule="auto"/>
        <w:ind w:firstLineChars="0"/>
        <w:rPr>
          <w:rFonts w:ascii="宋体" w:hAnsi="宋体" w:cs="宋体"/>
          <w:sz w:val="24"/>
          <w:szCs w:val="24"/>
        </w:rPr>
      </w:pPr>
      <w:r>
        <w:rPr>
          <w:rFonts w:hint="eastAsia" w:ascii="宋体" w:hAnsi="宋体" w:cs="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w:t>
      </w:r>
      <w:r>
        <w:rPr>
          <w:rFonts w:hint="eastAsia" w:ascii="宋体" w:hAnsi="宋体" w:cs="宋体"/>
          <w:b/>
          <w:color w:val="00B0F0"/>
          <w:sz w:val="24"/>
          <w:szCs w:val="24"/>
        </w:rPr>
        <w:t>、</w:t>
      </w:r>
      <w:r>
        <w:rPr>
          <w:rFonts w:hint="eastAsia" w:ascii="宋体" w:hAnsi="宋体" w:cs="宋体"/>
          <w:sz w:val="24"/>
          <w:szCs w:val="24"/>
        </w:rPr>
        <w:t>非信息科的医院管理人员、操作员。系统管理人员培训内容为系统中涉及的相关技术内容；管理人员培训内容为系统流程和相关管理思想；操作员为系统的操作培训。</w:t>
      </w:r>
    </w:p>
    <w:p>
      <w:pPr>
        <w:pStyle w:val="19"/>
        <w:numPr>
          <w:ilvl w:val="0"/>
          <w:numId w:val="11"/>
        </w:numPr>
        <w:spacing w:line="360" w:lineRule="auto"/>
        <w:ind w:firstLineChars="0"/>
        <w:rPr>
          <w:rFonts w:ascii="宋体" w:hAnsi="宋体" w:cs="宋体"/>
          <w:sz w:val="24"/>
          <w:szCs w:val="24"/>
        </w:rPr>
      </w:pPr>
      <w:r>
        <w:rPr>
          <w:rFonts w:hint="eastAsia" w:ascii="宋体" w:hAnsi="宋体" w:cs="宋体"/>
          <w:sz w:val="24"/>
          <w:szCs w:val="24"/>
        </w:rPr>
        <w:t>对实施人员的要求</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系统在通过验收前必须现场留驻足够的实施人员。</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医院有权根据实施情况要求更换项目经理和实施人员。</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对投标人项目经理等级基本要求：要求投标人针对本项目成立项目小组，在投标文件中提供书面名单，人员一旦得到医院确认，无特殊理由不得随意变动，其中项目经理必须具有项目管理资质并有三级甲等综合性医院的信息系统实施经验，且项目经理未得到医院同意的情况下不得随意更换。</w:t>
      </w:r>
    </w:p>
    <w:p>
      <w:pPr>
        <w:pStyle w:val="19"/>
        <w:numPr>
          <w:ilvl w:val="0"/>
          <w:numId w:val="11"/>
        </w:numPr>
        <w:spacing w:line="360" w:lineRule="auto"/>
        <w:ind w:firstLineChars="0"/>
        <w:rPr>
          <w:rFonts w:ascii="宋体" w:hAnsi="宋体" w:cs="宋体"/>
          <w:sz w:val="24"/>
          <w:szCs w:val="24"/>
        </w:rPr>
      </w:pPr>
      <w:r>
        <w:rPr>
          <w:rFonts w:hint="eastAsia" w:ascii="宋体" w:hAnsi="宋体" w:cs="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pPr>
        <w:pStyle w:val="19"/>
        <w:numPr>
          <w:ilvl w:val="0"/>
          <w:numId w:val="11"/>
        </w:numPr>
        <w:spacing w:line="360" w:lineRule="auto"/>
        <w:ind w:firstLineChars="0"/>
        <w:rPr>
          <w:rFonts w:ascii="宋体" w:hAnsi="宋体" w:cs="宋体"/>
          <w:sz w:val="24"/>
          <w:szCs w:val="24"/>
        </w:rPr>
      </w:pPr>
      <w:r>
        <w:rPr>
          <w:rFonts w:hint="eastAsia" w:ascii="宋体" w:hAnsi="宋体" w:cs="宋体"/>
          <w:sz w:val="24"/>
          <w:szCs w:val="24"/>
        </w:rPr>
        <w:t>系统维护、售后服务</w:t>
      </w:r>
    </w:p>
    <w:p>
      <w:pPr>
        <w:spacing w:line="360" w:lineRule="auto"/>
        <w:ind w:firstLine="480" w:firstLineChars="200"/>
        <w:rPr>
          <w:rFonts w:ascii="宋体" w:hAnsi="宋体" w:cs="宋体"/>
          <w:sz w:val="24"/>
        </w:rPr>
      </w:pPr>
      <w:r>
        <w:rPr>
          <w:rFonts w:hint="eastAsia" w:ascii="宋体" w:hAnsi="宋体" w:cs="宋体"/>
          <w:sz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作中遇到的业务问题、技术问题进行解答、指导；如遇特殊情况，可应甲方要求，提供现场服务。报修确认后60分钟内响应，2个工作日内出解决方案。</w:t>
      </w:r>
    </w:p>
    <w:p>
      <w:pPr>
        <w:pStyle w:val="19"/>
        <w:numPr>
          <w:ilvl w:val="1"/>
          <w:numId w:val="11"/>
        </w:numPr>
        <w:spacing w:line="360" w:lineRule="auto"/>
        <w:ind w:left="777" w:leftChars="0" w:firstLineChars="0"/>
        <w:rPr>
          <w:rFonts w:ascii="宋体" w:hAnsi="宋体" w:cs="宋体"/>
          <w:sz w:val="24"/>
          <w:szCs w:val="24"/>
        </w:rPr>
      </w:pPr>
      <w:r>
        <w:rPr>
          <w:rFonts w:hint="eastAsia" w:ascii="宋体" w:hAnsi="宋体" w:cs="宋体"/>
          <w:sz w:val="24"/>
          <w:szCs w:val="24"/>
        </w:rPr>
        <w:t>售后服务的形式：</w:t>
      </w:r>
    </w:p>
    <w:p>
      <w:pPr>
        <w:pStyle w:val="19"/>
        <w:numPr>
          <w:ilvl w:val="2"/>
          <w:numId w:val="11"/>
        </w:numPr>
        <w:spacing w:line="360" w:lineRule="auto"/>
        <w:ind w:left="1129" w:leftChars="0" w:firstLineChars="0"/>
        <w:rPr>
          <w:rFonts w:ascii="宋体" w:hAnsi="宋体" w:cs="宋体"/>
          <w:sz w:val="24"/>
          <w:szCs w:val="24"/>
        </w:rPr>
      </w:pPr>
      <w:r>
        <w:rPr>
          <w:rFonts w:hint="eastAsia" w:ascii="宋体" w:hAnsi="宋体" w:cs="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pStyle w:val="19"/>
        <w:numPr>
          <w:ilvl w:val="2"/>
          <w:numId w:val="11"/>
        </w:numPr>
        <w:spacing w:line="360" w:lineRule="auto"/>
        <w:ind w:left="1129" w:leftChars="0" w:firstLineChars="0"/>
        <w:rPr>
          <w:rFonts w:ascii="宋体" w:hAnsi="宋体" w:cs="宋体"/>
          <w:sz w:val="24"/>
          <w:szCs w:val="24"/>
        </w:rPr>
      </w:pPr>
      <w:r>
        <w:rPr>
          <w:rFonts w:hint="eastAsia" w:ascii="宋体" w:hAnsi="宋体" w:cs="宋体"/>
          <w:sz w:val="24"/>
          <w:szCs w:val="24"/>
        </w:rPr>
        <w:t>远程服务：医院允许投标人在现场人员不能排除故障时，授权通过电话线或VPN方式远程登录到院方网络系统进行免费的故障诊断和故障排除。</w:t>
      </w:r>
    </w:p>
    <w:p>
      <w:pPr>
        <w:pStyle w:val="19"/>
        <w:numPr>
          <w:ilvl w:val="2"/>
          <w:numId w:val="11"/>
        </w:numPr>
        <w:spacing w:line="360" w:lineRule="auto"/>
        <w:ind w:left="1129" w:leftChars="0" w:firstLineChars="0"/>
        <w:rPr>
          <w:rFonts w:ascii="宋体" w:hAnsi="宋体" w:cs="宋体"/>
          <w:sz w:val="24"/>
          <w:szCs w:val="24"/>
        </w:rPr>
      </w:pPr>
      <w:r>
        <w:rPr>
          <w:rFonts w:hint="eastAsia" w:ascii="宋体" w:hAnsi="宋体" w:cs="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19"/>
        <w:numPr>
          <w:ilvl w:val="2"/>
          <w:numId w:val="11"/>
        </w:numPr>
        <w:spacing w:line="360" w:lineRule="auto"/>
        <w:ind w:left="1129" w:leftChars="0" w:firstLineChars="0"/>
        <w:rPr>
          <w:rFonts w:ascii="宋体" w:hAnsi="宋体" w:cs="宋体"/>
          <w:sz w:val="24"/>
          <w:szCs w:val="24"/>
        </w:rPr>
      </w:pPr>
      <w:r>
        <w:rPr>
          <w:rFonts w:hint="eastAsia" w:ascii="宋体" w:hAnsi="宋体" w:cs="宋体"/>
          <w:sz w:val="24"/>
          <w:szCs w:val="24"/>
        </w:rPr>
        <w:t>其他售后服务承诺：在系统实施及保修期内，院方提出对软件更改的要求，投标人应予以满足。</w:t>
      </w:r>
    </w:p>
    <w:p>
      <w:pPr>
        <w:pStyle w:val="19"/>
        <w:numPr>
          <w:ilvl w:val="2"/>
          <w:numId w:val="11"/>
        </w:numPr>
        <w:spacing w:line="360" w:lineRule="auto"/>
        <w:ind w:left="1129" w:leftChars="0" w:firstLineChars="0"/>
        <w:rPr>
          <w:rFonts w:ascii="宋体" w:hAnsi="宋体" w:cs="宋体"/>
          <w:sz w:val="24"/>
          <w:szCs w:val="24"/>
        </w:rPr>
      </w:pPr>
      <w:r>
        <w:rPr>
          <w:rFonts w:hint="eastAsia" w:ascii="宋体" w:hAnsi="宋体" w:cs="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19"/>
        <w:numPr>
          <w:ilvl w:val="2"/>
          <w:numId w:val="11"/>
        </w:numPr>
        <w:spacing w:line="360" w:lineRule="auto"/>
        <w:ind w:left="1129" w:leftChars="0" w:firstLineChars="0"/>
        <w:rPr>
          <w:rFonts w:ascii="宋体" w:hAnsi="宋体" w:cs="宋体"/>
          <w:sz w:val="24"/>
          <w:szCs w:val="24"/>
        </w:rPr>
      </w:pPr>
      <w:r>
        <w:rPr>
          <w:rFonts w:hint="eastAsia" w:ascii="宋体" w:hAnsi="宋体" w:cs="宋体"/>
          <w:sz w:val="24"/>
          <w:szCs w:val="24"/>
        </w:rPr>
        <w:t>系统软硬件保修要求:所有系统软硬件均必须原厂授权证明；系统软件必须提供至少1年7*24售后服务。</w:t>
      </w:r>
    </w:p>
    <w:p>
      <w:pPr>
        <w:pStyle w:val="19"/>
        <w:numPr>
          <w:ilvl w:val="0"/>
          <w:numId w:val="11"/>
        </w:numPr>
        <w:spacing w:line="360" w:lineRule="auto"/>
        <w:ind w:firstLineChars="0"/>
        <w:rPr>
          <w:rFonts w:ascii="宋体" w:hAnsi="宋体" w:cs="宋体"/>
          <w:sz w:val="24"/>
          <w:szCs w:val="24"/>
        </w:rPr>
      </w:pPr>
      <w:r>
        <w:rPr>
          <w:rFonts w:hint="eastAsia" w:ascii="宋体" w:hAnsi="宋体" w:cs="宋体"/>
          <w:sz w:val="24"/>
          <w:szCs w:val="24"/>
        </w:rPr>
        <w:t>项目验收</w:t>
      </w:r>
    </w:p>
    <w:p>
      <w:pPr>
        <w:spacing w:line="360" w:lineRule="auto"/>
        <w:ind w:firstLine="480" w:firstLineChars="200"/>
        <w:rPr>
          <w:rFonts w:ascii="宋体" w:hAnsi="宋体" w:cs="宋体"/>
          <w:sz w:val="24"/>
        </w:rPr>
      </w:pPr>
      <w:r>
        <w:rPr>
          <w:rFonts w:hint="eastAsia" w:ascii="宋体" w:hAnsi="宋体" w:cs="宋体"/>
          <w:sz w:val="24"/>
        </w:rPr>
        <w:t>系统验收合格的条件至少满足以下三个要求：试运行时性能满足合同要求；性能测试和试运行验收时出现的问题已被解决；已提供了合同的全部货物和资料。</w:t>
      </w:r>
    </w:p>
    <w:p>
      <w:pPr>
        <w:pStyle w:val="5"/>
        <w:numPr>
          <w:ilvl w:val="1"/>
          <w:numId w:val="0"/>
        </w:numPr>
        <w:spacing w:line="360" w:lineRule="auto"/>
        <w:ind w:left="575"/>
        <w:rPr>
          <w:rFonts w:ascii="宋体" w:hAnsi="宋体" w:eastAsia="宋体" w:cs="宋体"/>
          <w:sz w:val="24"/>
          <w:szCs w:val="24"/>
        </w:rPr>
      </w:pPr>
    </w:p>
    <w:p>
      <w:pPr>
        <w:rPr>
          <w:rFonts w:ascii="宋体" w:hAnsi="宋体" w:cs="宋体"/>
          <w:sz w:val="24"/>
        </w:rPr>
      </w:pPr>
    </w:p>
    <w:p>
      <w:pPr>
        <w:pStyle w:val="15"/>
        <w:rPr>
          <w:rFonts w:ascii="宋体" w:hAnsi="宋体" w:eastAsia="宋体" w:cs="宋体"/>
          <w:sz w:val="24"/>
          <w:szCs w:val="24"/>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numPr>
          <w:ilvl w:val="0"/>
          <w:numId w:val="6"/>
        </w:numPr>
        <w:rPr>
          <w:rFonts w:ascii="宋体" w:hAnsi="宋体" w:eastAsia="宋体" w:cs="宋体"/>
        </w:rPr>
      </w:pPr>
      <w:r>
        <w:rPr>
          <w:rFonts w:hint="eastAsia" w:ascii="宋体" w:hAnsi="宋体" w:eastAsia="宋体" w:cs="宋体"/>
        </w:rPr>
        <w:t>附件</w:t>
      </w: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jc w:val="left"/>
        <w:rPr>
          <w:rFonts w:ascii="宋体" w:hAnsi="宋体" w:cs="宋体"/>
          <w:sz w:val="24"/>
        </w:rPr>
      </w:pPr>
      <w:r>
        <w:rPr>
          <w:rFonts w:hint="eastAsia" w:ascii="宋体" w:hAnsi="宋体" w:cs="宋体"/>
          <w:sz w:val="24"/>
        </w:rPr>
        <w:br w:type="page"/>
      </w:r>
    </w:p>
    <w:p>
      <w:pPr>
        <w:jc w:val="left"/>
        <w:rPr>
          <w:rFonts w:ascii="宋体" w:hAnsi="宋体" w:cs="宋体"/>
          <w:sz w:val="24"/>
        </w:rPr>
      </w:pP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-00</w:t>
      </w:r>
      <w:r>
        <w:rPr>
          <w:rFonts w:hint="eastAsia" w:ascii="宋体"/>
          <w:sz w:val="24"/>
          <w:u w:val="single"/>
          <w:lang w:val="en-US" w:eastAsia="zh-CN"/>
        </w:rPr>
        <w:t>2</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lang w:val="en-US" w:eastAsia="zh-CN"/>
        </w:rPr>
        <w:t>法定</w:t>
      </w:r>
      <w:r>
        <w:rPr>
          <w:rFonts w:hint="eastAsia" w:ascii="宋体"/>
          <w:sz w:val="24"/>
          <w:u w:val="single"/>
        </w:rPr>
        <w:t>传染病监测预警信息系统建设项目</w:t>
      </w:r>
    </w:p>
    <w:p>
      <w:pPr>
        <w:spacing w:line="360" w:lineRule="auto"/>
        <w:ind w:firstLine="360" w:firstLineChars="150"/>
        <w:rPr>
          <w:rFonts w:ascii="宋体"/>
          <w:sz w:val="24"/>
        </w:rPr>
      </w:pPr>
      <w:r>
        <w:rPr>
          <w:rFonts w:hint="eastAsia" w:ascii="宋体"/>
          <w:sz w:val="24"/>
        </w:rPr>
        <w:t>报价明细：</w:t>
      </w:r>
    </w:p>
    <w:tbl>
      <w:tblPr>
        <w:tblStyle w:val="10"/>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560"/>
        <w:gridCol w:w="960"/>
        <w:gridCol w:w="1541"/>
        <w:gridCol w:w="1213"/>
        <w:gridCol w:w="12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vAlign w:val="center"/>
          </w:tcPr>
          <w:p>
            <w:pPr>
              <w:pStyle w:val="2"/>
              <w:ind w:left="0" w:leftChars="0" w:firstLine="0"/>
              <w:jc w:val="center"/>
              <w:rPr>
                <w:rFonts w:ascii="宋体"/>
                <w:sz w:val="24"/>
              </w:rPr>
            </w:pPr>
            <w:r>
              <w:rPr>
                <w:rFonts w:hint="eastAsia" w:ascii="宋体"/>
                <w:sz w:val="24"/>
              </w:rPr>
              <w:t>序号</w:t>
            </w:r>
          </w:p>
        </w:tc>
        <w:tc>
          <w:tcPr>
            <w:tcW w:w="1960" w:type="dxa"/>
            <w:vAlign w:val="center"/>
          </w:tcPr>
          <w:p>
            <w:pPr>
              <w:pStyle w:val="2"/>
              <w:ind w:left="0" w:leftChars="0" w:firstLine="0"/>
              <w:jc w:val="center"/>
              <w:rPr>
                <w:rFonts w:ascii="宋体"/>
                <w:sz w:val="24"/>
              </w:rPr>
            </w:pPr>
            <w:r>
              <w:rPr>
                <w:rFonts w:hint="eastAsia" w:ascii="宋体"/>
                <w:sz w:val="24"/>
              </w:rPr>
              <w:t>设备名称</w:t>
            </w:r>
          </w:p>
        </w:tc>
        <w:tc>
          <w:tcPr>
            <w:tcW w:w="1560" w:type="dxa"/>
            <w:vAlign w:val="center"/>
          </w:tcPr>
          <w:p>
            <w:pPr>
              <w:pStyle w:val="2"/>
              <w:ind w:left="0" w:leftChars="0" w:firstLine="0"/>
              <w:jc w:val="center"/>
              <w:rPr>
                <w:rFonts w:ascii="宋体"/>
                <w:sz w:val="24"/>
              </w:rPr>
            </w:pPr>
            <w:r>
              <w:rPr>
                <w:rFonts w:hint="eastAsia" w:ascii="宋体"/>
                <w:sz w:val="24"/>
              </w:rPr>
              <w:t>规格型号</w:t>
            </w:r>
          </w:p>
        </w:tc>
        <w:tc>
          <w:tcPr>
            <w:tcW w:w="960" w:type="dxa"/>
            <w:vAlign w:val="center"/>
          </w:tcPr>
          <w:p>
            <w:pPr>
              <w:pStyle w:val="2"/>
              <w:ind w:left="0" w:leftChars="0" w:firstLine="0"/>
              <w:jc w:val="center"/>
              <w:rPr>
                <w:rFonts w:ascii="宋体"/>
                <w:sz w:val="24"/>
              </w:rPr>
            </w:pPr>
            <w:r>
              <w:rPr>
                <w:rFonts w:hint="eastAsia" w:ascii="宋体"/>
                <w:sz w:val="24"/>
              </w:rPr>
              <w:t>数量</w:t>
            </w:r>
          </w:p>
        </w:tc>
        <w:tc>
          <w:tcPr>
            <w:tcW w:w="1541" w:type="dxa"/>
            <w:vAlign w:val="center"/>
          </w:tcPr>
          <w:p>
            <w:pPr>
              <w:pStyle w:val="2"/>
              <w:ind w:left="0" w:leftChars="0" w:firstLine="0"/>
              <w:jc w:val="center"/>
              <w:rPr>
                <w:rFonts w:ascii="宋体"/>
                <w:sz w:val="24"/>
              </w:rPr>
            </w:pPr>
            <w:r>
              <w:rPr>
                <w:rFonts w:hint="eastAsia" w:ascii="宋体"/>
                <w:sz w:val="24"/>
              </w:rPr>
              <w:t>制造商名称</w:t>
            </w:r>
          </w:p>
        </w:tc>
        <w:tc>
          <w:tcPr>
            <w:tcW w:w="1213" w:type="dxa"/>
            <w:vAlign w:val="center"/>
          </w:tcPr>
          <w:p>
            <w:pPr>
              <w:pStyle w:val="2"/>
              <w:ind w:left="0" w:leftChars="0" w:firstLine="0"/>
              <w:jc w:val="center"/>
              <w:rPr>
                <w:rFonts w:ascii="宋体"/>
                <w:sz w:val="24"/>
              </w:rPr>
            </w:pPr>
            <w:r>
              <w:rPr>
                <w:rFonts w:hint="eastAsia" w:ascii="宋体"/>
                <w:sz w:val="24"/>
              </w:rPr>
              <w:t>单价（元）</w:t>
            </w:r>
          </w:p>
        </w:tc>
        <w:tc>
          <w:tcPr>
            <w:tcW w:w="1281" w:type="dxa"/>
            <w:vAlign w:val="center"/>
          </w:tcPr>
          <w:p>
            <w:pPr>
              <w:pStyle w:val="2"/>
              <w:ind w:left="0" w:leftChars="0" w:firstLine="0"/>
              <w:jc w:val="center"/>
              <w:rPr>
                <w:rFonts w:ascii="宋体"/>
                <w:sz w:val="24"/>
              </w:rPr>
            </w:pPr>
            <w:r>
              <w:rPr>
                <w:rFonts w:hint="eastAsia" w:ascii="宋体"/>
                <w:sz w:val="24"/>
              </w:rPr>
              <w:t>合计（元）</w:t>
            </w:r>
          </w:p>
        </w:tc>
        <w:tc>
          <w:tcPr>
            <w:tcW w:w="1247" w:type="dxa"/>
            <w:vAlign w:val="center"/>
          </w:tcPr>
          <w:p>
            <w:pPr>
              <w:pStyle w:val="2"/>
              <w:ind w:left="0" w:leftChars="0" w:firstLine="0"/>
              <w:jc w:val="center"/>
              <w:rPr>
                <w:rFonts w:ascii="宋体"/>
                <w:sz w:val="24"/>
              </w:rPr>
            </w:pPr>
            <w:r>
              <w:rPr>
                <w:rFonts w:hint="eastAsia" w:asci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ind w:left="0" w:leftChars="0" w:firstLine="0"/>
              <w:jc w:val="center"/>
              <w:rPr>
                <w:rFonts w:ascii="宋体"/>
                <w:sz w:val="24"/>
              </w:rPr>
            </w:pPr>
          </w:p>
        </w:tc>
        <w:tc>
          <w:tcPr>
            <w:tcW w:w="1960" w:type="dxa"/>
            <w:vAlign w:val="center"/>
          </w:tcPr>
          <w:p>
            <w:pPr>
              <w:pStyle w:val="2"/>
              <w:jc w:val="center"/>
              <w:rPr>
                <w:rFonts w:ascii="宋体"/>
                <w:sz w:val="24"/>
              </w:rPr>
            </w:pPr>
          </w:p>
        </w:tc>
        <w:tc>
          <w:tcPr>
            <w:tcW w:w="1560" w:type="dxa"/>
            <w:vAlign w:val="center"/>
          </w:tcPr>
          <w:p>
            <w:pPr>
              <w:pStyle w:val="2"/>
              <w:jc w:val="center"/>
              <w:rPr>
                <w:rFonts w:ascii="宋体"/>
                <w:sz w:val="24"/>
              </w:rPr>
            </w:pPr>
          </w:p>
        </w:tc>
        <w:tc>
          <w:tcPr>
            <w:tcW w:w="960" w:type="dxa"/>
            <w:vAlign w:val="center"/>
          </w:tcPr>
          <w:p>
            <w:pPr>
              <w:pStyle w:val="2"/>
              <w:jc w:val="center"/>
              <w:rPr>
                <w:rFonts w:ascii="宋体"/>
                <w:sz w:val="24"/>
              </w:rPr>
            </w:pPr>
          </w:p>
        </w:tc>
        <w:tc>
          <w:tcPr>
            <w:tcW w:w="1541" w:type="dxa"/>
            <w:vAlign w:val="center"/>
          </w:tcPr>
          <w:p>
            <w:pPr>
              <w:pStyle w:val="2"/>
              <w:jc w:val="center"/>
              <w:rPr>
                <w:rFonts w:ascii="宋体"/>
                <w:sz w:val="24"/>
              </w:rPr>
            </w:pPr>
          </w:p>
        </w:tc>
        <w:tc>
          <w:tcPr>
            <w:tcW w:w="1213" w:type="dxa"/>
            <w:vAlign w:val="center"/>
          </w:tcPr>
          <w:p>
            <w:pPr>
              <w:pStyle w:val="2"/>
              <w:jc w:val="center"/>
              <w:rPr>
                <w:rFonts w:ascii="宋体"/>
                <w:sz w:val="24"/>
              </w:rPr>
            </w:pPr>
          </w:p>
        </w:tc>
        <w:tc>
          <w:tcPr>
            <w:tcW w:w="1281" w:type="dxa"/>
            <w:vAlign w:val="center"/>
          </w:tcPr>
          <w:p>
            <w:pPr>
              <w:pStyle w:val="2"/>
              <w:jc w:val="center"/>
              <w:rPr>
                <w:rFonts w:ascii="宋体"/>
                <w:sz w:val="24"/>
              </w:rPr>
            </w:pPr>
          </w:p>
        </w:tc>
        <w:tc>
          <w:tcPr>
            <w:tcW w:w="1247" w:type="dxa"/>
            <w:vAlign w:val="center"/>
          </w:tcPr>
          <w:p>
            <w:pPr>
              <w:pStyle w:val="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ascii="宋体"/>
                <w:sz w:val="24"/>
              </w:rPr>
            </w:pPr>
          </w:p>
        </w:tc>
        <w:tc>
          <w:tcPr>
            <w:tcW w:w="1960" w:type="dxa"/>
            <w:vAlign w:val="center"/>
          </w:tcPr>
          <w:p>
            <w:pPr>
              <w:pStyle w:val="2"/>
              <w:jc w:val="center"/>
              <w:rPr>
                <w:rFonts w:ascii="宋体"/>
                <w:sz w:val="24"/>
              </w:rPr>
            </w:pPr>
          </w:p>
        </w:tc>
        <w:tc>
          <w:tcPr>
            <w:tcW w:w="1560" w:type="dxa"/>
            <w:vAlign w:val="center"/>
          </w:tcPr>
          <w:p>
            <w:pPr>
              <w:pStyle w:val="2"/>
              <w:jc w:val="center"/>
              <w:rPr>
                <w:rFonts w:ascii="宋体"/>
                <w:sz w:val="24"/>
              </w:rPr>
            </w:pPr>
          </w:p>
        </w:tc>
        <w:tc>
          <w:tcPr>
            <w:tcW w:w="960" w:type="dxa"/>
            <w:vAlign w:val="center"/>
          </w:tcPr>
          <w:p>
            <w:pPr>
              <w:pStyle w:val="2"/>
              <w:jc w:val="center"/>
              <w:rPr>
                <w:rFonts w:ascii="宋体"/>
                <w:sz w:val="24"/>
              </w:rPr>
            </w:pPr>
          </w:p>
        </w:tc>
        <w:tc>
          <w:tcPr>
            <w:tcW w:w="1541" w:type="dxa"/>
            <w:vAlign w:val="center"/>
          </w:tcPr>
          <w:p>
            <w:pPr>
              <w:pStyle w:val="2"/>
              <w:jc w:val="center"/>
              <w:rPr>
                <w:rFonts w:ascii="宋体"/>
                <w:sz w:val="24"/>
              </w:rPr>
            </w:pPr>
          </w:p>
        </w:tc>
        <w:tc>
          <w:tcPr>
            <w:tcW w:w="1213" w:type="dxa"/>
            <w:vAlign w:val="center"/>
          </w:tcPr>
          <w:p>
            <w:pPr>
              <w:pStyle w:val="2"/>
              <w:jc w:val="center"/>
              <w:rPr>
                <w:rFonts w:ascii="宋体"/>
                <w:sz w:val="24"/>
              </w:rPr>
            </w:pPr>
          </w:p>
        </w:tc>
        <w:tc>
          <w:tcPr>
            <w:tcW w:w="1281" w:type="dxa"/>
            <w:vAlign w:val="center"/>
          </w:tcPr>
          <w:p>
            <w:pPr>
              <w:pStyle w:val="2"/>
              <w:jc w:val="center"/>
              <w:rPr>
                <w:rFonts w:ascii="宋体"/>
                <w:sz w:val="24"/>
              </w:rPr>
            </w:pPr>
          </w:p>
        </w:tc>
        <w:tc>
          <w:tcPr>
            <w:tcW w:w="1247" w:type="dxa"/>
            <w:vAlign w:val="center"/>
          </w:tcPr>
          <w:p>
            <w:pPr>
              <w:pStyle w:val="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ascii="宋体"/>
                <w:sz w:val="24"/>
              </w:rPr>
            </w:pPr>
          </w:p>
        </w:tc>
        <w:tc>
          <w:tcPr>
            <w:tcW w:w="1960" w:type="dxa"/>
            <w:vAlign w:val="center"/>
          </w:tcPr>
          <w:p>
            <w:pPr>
              <w:pStyle w:val="2"/>
              <w:jc w:val="center"/>
              <w:rPr>
                <w:rFonts w:ascii="宋体"/>
                <w:sz w:val="24"/>
              </w:rPr>
            </w:pPr>
          </w:p>
        </w:tc>
        <w:tc>
          <w:tcPr>
            <w:tcW w:w="1560" w:type="dxa"/>
            <w:vAlign w:val="center"/>
          </w:tcPr>
          <w:p>
            <w:pPr>
              <w:pStyle w:val="2"/>
              <w:jc w:val="center"/>
              <w:rPr>
                <w:rFonts w:ascii="宋体"/>
                <w:sz w:val="24"/>
              </w:rPr>
            </w:pPr>
          </w:p>
        </w:tc>
        <w:tc>
          <w:tcPr>
            <w:tcW w:w="960" w:type="dxa"/>
            <w:vAlign w:val="center"/>
          </w:tcPr>
          <w:p>
            <w:pPr>
              <w:pStyle w:val="2"/>
              <w:jc w:val="center"/>
              <w:rPr>
                <w:rFonts w:ascii="宋体"/>
                <w:sz w:val="24"/>
              </w:rPr>
            </w:pPr>
          </w:p>
        </w:tc>
        <w:tc>
          <w:tcPr>
            <w:tcW w:w="1541" w:type="dxa"/>
            <w:vAlign w:val="center"/>
          </w:tcPr>
          <w:p>
            <w:pPr>
              <w:pStyle w:val="2"/>
              <w:jc w:val="center"/>
              <w:rPr>
                <w:rFonts w:ascii="宋体"/>
                <w:sz w:val="24"/>
              </w:rPr>
            </w:pPr>
          </w:p>
        </w:tc>
        <w:tc>
          <w:tcPr>
            <w:tcW w:w="1213" w:type="dxa"/>
            <w:vAlign w:val="center"/>
          </w:tcPr>
          <w:p>
            <w:pPr>
              <w:pStyle w:val="2"/>
              <w:jc w:val="center"/>
              <w:rPr>
                <w:rFonts w:ascii="宋体"/>
                <w:sz w:val="24"/>
              </w:rPr>
            </w:pPr>
          </w:p>
        </w:tc>
        <w:tc>
          <w:tcPr>
            <w:tcW w:w="1281" w:type="dxa"/>
            <w:vAlign w:val="center"/>
          </w:tcPr>
          <w:p>
            <w:pPr>
              <w:pStyle w:val="2"/>
              <w:jc w:val="center"/>
              <w:rPr>
                <w:rFonts w:ascii="宋体"/>
                <w:sz w:val="24"/>
              </w:rPr>
            </w:pPr>
          </w:p>
        </w:tc>
        <w:tc>
          <w:tcPr>
            <w:tcW w:w="1247" w:type="dxa"/>
            <w:vAlign w:val="center"/>
          </w:tcPr>
          <w:p>
            <w:pPr>
              <w:pStyle w:val="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vAlign w:val="center"/>
          </w:tcPr>
          <w:p>
            <w:pPr>
              <w:pStyle w:val="2"/>
              <w:ind w:left="0" w:leftChars="0" w:firstLine="0"/>
              <w:jc w:val="center"/>
              <w:rPr>
                <w:rFonts w:ascii="宋体"/>
                <w:sz w:val="24"/>
              </w:rPr>
            </w:pPr>
            <w:r>
              <w:rPr>
                <w:rFonts w:hint="eastAsia" w:ascii="宋体"/>
                <w:sz w:val="24"/>
              </w:rPr>
              <w:t>总价（元）：</w:t>
            </w:r>
          </w:p>
        </w:tc>
        <w:tc>
          <w:tcPr>
            <w:tcW w:w="7802" w:type="dxa"/>
            <w:gridSpan w:val="6"/>
            <w:vAlign w:val="center"/>
          </w:tcPr>
          <w:p>
            <w:pPr>
              <w:pStyle w:val="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vAlign w:val="center"/>
          </w:tcPr>
          <w:p>
            <w:pPr>
              <w:pStyle w:val="2"/>
              <w:ind w:left="0" w:leftChars="0" w:firstLine="0"/>
              <w:jc w:val="center"/>
              <w:rPr>
                <w:rFonts w:ascii="宋体"/>
                <w:sz w:val="24"/>
              </w:rPr>
            </w:pPr>
            <w:r>
              <w:rPr>
                <w:rFonts w:hint="eastAsia" w:ascii="宋体"/>
                <w:sz w:val="24"/>
              </w:rPr>
              <w:t>总价（大写）：</w:t>
            </w:r>
          </w:p>
        </w:tc>
        <w:tc>
          <w:tcPr>
            <w:tcW w:w="7802" w:type="dxa"/>
            <w:gridSpan w:val="6"/>
            <w:vAlign w:val="center"/>
          </w:tcPr>
          <w:p>
            <w:pPr>
              <w:pStyle w:val="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vAlign w:val="center"/>
          </w:tcPr>
          <w:p>
            <w:pPr>
              <w:pStyle w:val="2"/>
              <w:ind w:left="0" w:leftChars="0" w:firstLine="0"/>
              <w:jc w:val="center"/>
              <w:rPr>
                <w:rFonts w:ascii="宋体"/>
                <w:sz w:val="24"/>
              </w:rPr>
            </w:pPr>
            <w:r>
              <w:rPr>
                <w:rFonts w:hint="eastAsia" w:ascii="宋体"/>
                <w:sz w:val="24"/>
              </w:rPr>
              <w:t>备注：</w:t>
            </w:r>
          </w:p>
        </w:tc>
        <w:tc>
          <w:tcPr>
            <w:tcW w:w="7802" w:type="dxa"/>
            <w:gridSpan w:val="6"/>
            <w:vAlign w:val="center"/>
          </w:tcPr>
          <w:p>
            <w:pPr>
              <w:pStyle w:val="2"/>
              <w:jc w:val="center"/>
              <w:rPr>
                <w:rFonts w:ascii="宋体"/>
                <w:sz w:val="24"/>
              </w:rPr>
            </w:pPr>
          </w:p>
        </w:tc>
      </w:tr>
    </w:tbl>
    <w:p>
      <w:pPr>
        <w:spacing w:line="360" w:lineRule="auto"/>
        <w:rPr>
          <w:rFonts w:ascii="宋体"/>
          <w:sz w:val="24"/>
        </w:rPr>
      </w:pPr>
    </w:p>
    <w:p>
      <w:pPr>
        <w:pStyle w:val="2"/>
        <w:rPr>
          <w:rFonts w:ascii="宋体"/>
          <w:sz w:val="24"/>
        </w:rPr>
      </w:pPr>
    </w:p>
    <w:p>
      <w:pPr>
        <w:pStyle w:val="2"/>
        <w:ind w:left="0" w:leftChars="0" w:firstLine="0"/>
        <w:rPr>
          <w:rFonts w:ascii="宋体"/>
          <w:sz w:val="24"/>
        </w:rPr>
      </w:pPr>
    </w:p>
    <w:p>
      <w:pPr>
        <w:pStyle w:val="2"/>
        <w:ind w:left="0" w:leftChars="0" w:firstLine="0"/>
        <w:rPr>
          <w:rFonts w:ascii="宋体"/>
          <w:sz w:val="24"/>
        </w:rPr>
      </w:pPr>
    </w:p>
    <w:p>
      <w:pPr>
        <w:pStyle w:val="2"/>
        <w:ind w:left="0" w:leftChars="0" w:firstLine="0"/>
        <w:rPr>
          <w:rFonts w:ascii="宋体"/>
          <w:sz w:val="24"/>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2"/>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pStyle w:val="2"/>
        <w:rPr>
          <w:rFonts w:hint="eastAsia"/>
        </w:rPr>
      </w:pPr>
    </w:p>
    <w:p>
      <w:pPr>
        <w:jc w:val="left"/>
        <w:rPr>
          <w:rFonts w:ascii="宋体" w:hAnsi="宋体" w:cs="宋体"/>
          <w:sz w:val="24"/>
        </w:rPr>
      </w:pPr>
      <w:r>
        <w:rPr>
          <w:rFonts w:hint="eastAsia" w:ascii="宋体" w:hAnsi="宋体" w:cs="宋体"/>
          <w:sz w:val="24"/>
        </w:rPr>
        <w:t xml:space="preserve"> 附件</w:t>
      </w:r>
      <w:r>
        <w:rPr>
          <w:rFonts w:hint="eastAsia" w:ascii="宋体" w:hAnsi="宋体" w:cs="宋体"/>
          <w:sz w:val="24"/>
          <w:lang w:val="en-US" w:eastAsia="zh-CN"/>
        </w:rPr>
        <w:t>2</w:t>
      </w:r>
      <w:r>
        <w:rPr>
          <w:rFonts w:hint="eastAsia" w:ascii="宋体" w:hAnsi="宋体" w:cs="宋体"/>
          <w:sz w:val="24"/>
        </w:rPr>
        <w:t>：法人代表授权书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18"/>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8"/>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8"/>
        <w:autoSpaceDE w:val="0"/>
        <w:autoSpaceDN w:val="0"/>
        <w:spacing w:before="120" w:after="120" w:line="240" w:lineRule="atLeast"/>
        <w:jc w:val="left"/>
        <w:rPr>
          <w:rFonts w:ascii="宋体" w:hAnsi="宋体" w:eastAsia="宋体" w:cs="宋体"/>
        </w:rPr>
      </w:pPr>
    </w:p>
    <w:p>
      <w:pPr>
        <w:pStyle w:val="18"/>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w:t>
      </w:r>
      <w:r>
        <w:rPr>
          <w:rFonts w:hint="eastAsia" w:ascii="宋体" w:hAnsi="宋体" w:cs="宋体"/>
          <w:sz w:val="24"/>
          <w:lang w:val="en-US" w:eastAsia="zh-CN"/>
        </w:rPr>
        <w:t>3</w:t>
      </w:r>
      <w:r>
        <w:rPr>
          <w:rFonts w:hint="eastAsia" w:ascii="宋体" w:hAnsi="宋体" w:cs="宋体"/>
          <w:bCs/>
          <w:sz w:val="32"/>
          <w:szCs w:val="20"/>
        </w:rPr>
        <w:t xml:space="preserve">：   </w:t>
      </w:r>
      <w:r>
        <w:rPr>
          <w:rFonts w:hint="eastAsia" w:ascii="宋体" w:hAnsi="宋体" w:cs="宋体"/>
          <w:b/>
          <w:sz w:val="32"/>
          <w:szCs w:val="20"/>
        </w:rPr>
        <w:t xml:space="preserve">      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9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jc w:val="center"/>
              <w:rPr>
                <w:rFonts w:ascii="宋体" w:hAnsi="宋体" w:cs="宋体"/>
                <w:sz w:val="24"/>
              </w:rPr>
            </w:pPr>
            <w:r>
              <w:rPr>
                <w:rFonts w:hint="eastAsia" w:ascii="宋体" w:hAnsi="宋体" w:cs="宋体"/>
                <w:sz w:val="24"/>
              </w:rPr>
              <w:t>序号</w:t>
            </w:r>
          </w:p>
        </w:tc>
        <w:tc>
          <w:tcPr>
            <w:tcW w:w="3591" w:type="dxa"/>
          </w:tcPr>
          <w:p>
            <w:pPr>
              <w:spacing w:line="360" w:lineRule="auto"/>
              <w:jc w:val="center"/>
              <w:rPr>
                <w:rFonts w:ascii="宋体" w:hAnsi="宋体" w:cs="宋体"/>
                <w:sz w:val="24"/>
              </w:rPr>
            </w:pPr>
            <w:r>
              <w:rPr>
                <w:rFonts w:hint="eastAsia" w:ascii="宋体" w:hAnsi="宋体" w:cs="宋体"/>
                <w:sz w:val="24"/>
              </w:rPr>
              <w:t>遴选文件要求</w:t>
            </w:r>
          </w:p>
        </w:tc>
        <w:tc>
          <w:tcPr>
            <w:tcW w:w="1843" w:type="dxa"/>
          </w:tcPr>
          <w:p>
            <w:pPr>
              <w:spacing w:line="360" w:lineRule="auto"/>
              <w:ind w:left="-317" w:leftChars="-151" w:firstLine="434" w:firstLineChars="181"/>
              <w:rPr>
                <w:rFonts w:ascii="宋体" w:hAnsi="宋体" w:cs="宋体"/>
                <w:sz w:val="24"/>
              </w:rPr>
            </w:pPr>
            <w:r>
              <w:rPr>
                <w:rFonts w:hint="eastAsia" w:ascii="宋体" w:hAnsi="宋体" w:cs="宋体"/>
                <w:sz w:val="24"/>
              </w:rPr>
              <w:t>遴选文件响应</w:t>
            </w:r>
          </w:p>
        </w:tc>
        <w:tc>
          <w:tcPr>
            <w:tcW w:w="1559" w:type="dxa"/>
          </w:tcPr>
          <w:p>
            <w:pPr>
              <w:spacing w:line="360"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tcPr>
          <w:p>
            <w:pPr>
              <w:spacing w:line="360" w:lineRule="auto"/>
              <w:rPr>
                <w:rFonts w:ascii="宋体" w:hAnsi="宋体" w:cs="宋体"/>
              </w:rPr>
            </w:pPr>
          </w:p>
        </w:tc>
        <w:tc>
          <w:tcPr>
            <w:tcW w:w="3591" w:type="dxa"/>
          </w:tcPr>
          <w:p>
            <w:pPr>
              <w:spacing w:line="360" w:lineRule="auto"/>
              <w:rPr>
                <w:rFonts w:ascii="宋体" w:hAnsi="宋体" w:cs="宋体"/>
              </w:rPr>
            </w:pPr>
          </w:p>
        </w:tc>
        <w:tc>
          <w:tcPr>
            <w:tcW w:w="1843" w:type="dxa"/>
          </w:tcPr>
          <w:p>
            <w:pPr>
              <w:spacing w:line="360" w:lineRule="auto"/>
              <w:rPr>
                <w:rFonts w:ascii="宋体" w:hAnsi="宋体" w:cs="宋体"/>
              </w:rPr>
            </w:pPr>
          </w:p>
        </w:tc>
        <w:tc>
          <w:tcPr>
            <w:tcW w:w="1559" w:type="dxa"/>
          </w:tcPr>
          <w:p>
            <w:pPr>
              <w:spacing w:line="360" w:lineRule="auto"/>
              <w:rPr>
                <w:rFonts w:ascii="宋体" w:hAnsi="宋体" w:cs="宋体"/>
              </w:rPr>
            </w:pPr>
          </w:p>
        </w:tc>
      </w:tr>
    </w:tbl>
    <w:p>
      <w:pPr>
        <w:jc w:val="center"/>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r>
        <w:rPr>
          <w:rFonts w:hint="eastAsia" w:ascii="宋体" w:hAnsi="宋体" w:cs="宋体"/>
          <w:sz w:val="24"/>
        </w:rPr>
        <w:t>供应商代表签字：</w:t>
      </w:r>
      <w:r>
        <w:rPr>
          <w:rFonts w:hint="eastAsia" w:ascii="宋体" w:hAnsi="宋体" w:cs="宋体"/>
          <w:sz w:val="24"/>
          <w:u w:val="single"/>
        </w:rPr>
        <w:t xml:space="preserve">                 </w:t>
      </w:r>
      <w:r>
        <w:rPr>
          <w:rFonts w:hint="eastAsia" w:ascii="宋体" w:hAnsi="宋体" w:cs="宋体"/>
        </w:rPr>
        <w:t xml:space="preserve"> </w:t>
      </w:r>
    </w:p>
    <w:p>
      <w:pPr>
        <w:spacing w:line="360" w:lineRule="auto"/>
        <w:jc w:val="left"/>
        <w:rPr>
          <w:rFonts w:ascii="宋体" w:hAnsi="宋体" w:cs="宋体"/>
        </w:rPr>
      </w:pPr>
    </w:p>
    <w:p>
      <w:pPr>
        <w:spacing w:line="360" w:lineRule="auto"/>
        <w:jc w:val="left"/>
        <w:rPr>
          <w:rFonts w:ascii="宋体" w:hAnsi="宋体" w:cs="宋体"/>
          <w:u w:val="single"/>
        </w:rPr>
      </w:pPr>
      <w:r>
        <w:rPr>
          <w:rFonts w:hint="eastAsia" w:ascii="宋体" w:hAnsi="宋体" w:cs="宋体"/>
        </w:rPr>
        <w:t>公章：</w:t>
      </w:r>
      <w:r>
        <w:rPr>
          <w:rFonts w:hint="eastAsia" w:ascii="宋体" w:hAnsi="宋体" w:cs="宋体"/>
          <w:u w:val="single"/>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5</w:t>
      </w:r>
      <w:r>
        <w:rPr>
          <w:rFonts w:hint="eastAsia" w:ascii="宋体" w:hAnsi="宋体" w:cs="宋体"/>
          <w:sz w:val="24"/>
        </w:rPr>
        <w:t>：信用中国查询结果截图（模板如下）：</w:t>
      </w:r>
    </w:p>
    <w:p>
      <w:pPr>
        <w:ind w:firstLine="2080" w:firstLineChars="6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6</w:t>
      </w:r>
      <w:r>
        <w:rPr>
          <w:rFonts w:hint="eastAsia" w:ascii="宋体" w:hAnsi="宋体" w:cs="宋体"/>
          <w:sz w:val="24"/>
        </w:rPr>
        <w:t>：无重大违法记录承诺书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：无行贿犯罪记录声明函（格式）</w:t>
      </w:r>
    </w:p>
    <w:p>
      <w:pPr>
        <w:ind w:firstLine="1760" w:firstLineChars="5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F1FD1"/>
    <w:multiLevelType w:val="multilevel"/>
    <w:tmpl w:val="99BF1FD1"/>
    <w:lvl w:ilvl="0" w:tentative="0">
      <w:start w:val="1"/>
      <w:numFmt w:val="decimal"/>
      <w:lvlText w:val="%1)"/>
      <w:lvlJc w:val="left"/>
      <w:pPr>
        <w:ind w:left="635" w:hanging="425"/>
      </w:pPr>
    </w:lvl>
    <w:lvl w:ilvl="1" w:tentative="0">
      <w:start w:val="1"/>
      <w:numFmt w:val="decimal"/>
      <w:lvlText w:val="%2."/>
      <w:lvlJc w:val="left"/>
      <w:pPr>
        <w:tabs>
          <w:tab w:val="left" w:pos="1440"/>
        </w:tabs>
        <w:ind w:left="1650" w:hanging="360"/>
      </w:pPr>
    </w:lvl>
    <w:lvl w:ilvl="2" w:tentative="0">
      <w:start w:val="1"/>
      <w:numFmt w:val="decimal"/>
      <w:lvlText w:val="%3."/>
      <w:lvlJc w:val="left"/>
      <w:pPr>
        <w:tabs>
          <w:tab w:val="left" w:pos="2160"/>
        </w:tabs>
        <w:ind w:left="2370" w:hanging="360"/>
      </w:pPr>
    </w:lvl>
    <w:lvl w:ilvl="3" w:tentative="0">
      <w:start w:val="1"/>
      <w:numFmt w:val="decimal"/>
      <w:lvlText w:val="%4."/>
      <w:lvlJc w:val="left"/>
      <w:pPr>
        <w:tabs>
          <w:tab w:val="left" w:pos="2880"/>
        </w:tabs>
        <w:ind w:left="3090" w:hanging="360"/>
      </w:pPr>
    </w:lvl>
    <w:lvl w:ilvl="4" w:tentative="0">
      <w:start w:val="1"/>
      <w:numFmt w:val="decimal"/>
      <w:lvlText w:val="%5."/>
      <w:lvlJc w:val="left"/>
      <w:pPr>
        <w:tabs>
          <w:tab w:val="left" w:pos="3600"/>
        </w:tabs>
        <w:ind w:left="3810" w:hanging="360"/>
      </w:pPr>
    </w:lvl>
    <w:lvl w:ilvl="5" w:tentative="0">
      <w:start w:val="1"/>
      <w:numFmt w:val="decimal"/>
      <w:lvlText w:val="%6."/>
      <w:lvlJc w:val="left"/>
      <w:pPr>
        <w:tabs>
          <w:tab w:val="left" w:pos="4320"/>
        </w:tabs>
        <w:ind w:left="4530" w:hanging="360"/>
      </w:pPr>
    </w:lvl>
    <w:lvl w:ilvl="6" w:tentative="0">
      <w:start w:val="1"/>
      <w:numFmt w:val="decimal"/>
      <w:lvlText w:val="%7."/>
      <w:lvlJc w:val="left"/>
      <w:pPr>
        <w:tabs>
          <w:tab w:val="left" w:pos="5040"/>
        </w:tabs>
        <w:ind w:left="5250" w:hanging="360"/>
      </w:pPr>
    </w:lvl>
    <w:lvl w:ilvl="7" w:tentative="0">
      <w:start w:val="1"/>
      <w:numFmt w:val="decimal"/>
      <w:lvlText w:val="%8."/>
      <w:lvlJc w:val="left"/>
      <w:pPr>
        <w:tabs>
          <w:tab w:val="left" w:pos="5760"/>
        </w:tabs>
        <w:ind w:left="5970" w:hanging="360"/>
      </w:pPr>
    </w:lvl>
    <w:lvl w:ilvl="8" w:tentative="0">
      <w:start w:val="1"/>
      <w:numFmt w:val="decimal"/>
      <w:lvlText w:val="%9."/>
      <w:lvlJc w:val="left"/>
      <w:pPr>
        <w:tabs>
          <w:tab w:val="left" w:pos="6480"/>
        </w:tabs>
        <w:ind w:left="6690" w:hanging="360"/>
      </w:pPr>
    </w:lvl>
  </w:abstractNum>
  <w:abstractNum w:abstractNumId="1">
    <w:nsid w:val="9EBCCC30"/>
    <w:multiLevelType w:val="singleLevel"/>
    <w:tmpl w:val="9EBCCC30"/>
    <w:lvl w:ilvl="0" w:tentative="0">
      <w:start w:val="2"/>
      <w:numFmt w:val="decimal"/>
      <w:suff w:val="space"/>
      <w:lvlText w:val="%1）"/>
      <w:lvlJc w:val="left"/>
    </w:lvl>
  </w:abstractNum>
  <w:abstractNum w:abstractNumId="2">
    <w:nsid w:val="B643950E"/>
    <w:multiLevelType w:val="multilevel"/>
    <w:tmpl w:val="B643950E"/>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C7FC0EB0"/>
    <w:multiLevelType w:val="singleLevel"/>
    <w:tmpl w:val="C7FC0EB0"/>
    <w:lvl w:ilvl="0" w:tentative="0">
      <w:start w:val="1"/>
      <w:numFmt w:val="decimal"/>
      <w:lvlText w:val="%1)"/>
      <w:lvlJc w:val="left"/>
      <w:pPr>
        <w:ind w:left="845" w:hanging="425"/>
      </w:pPr>
      <w:rPr>
        <w:rFonts w:hint="default"/>
      </w:rPr>
    </w:lvl>
  </w:abstractNum>
  <w:abstractNum w:abstractNumId="4">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810C4B"/>
    <w:multiLevelType w:val="singleLevel"/>
    <w:tmpl w:val="18810C4B"/>
    <w:lvl w:ilvl="0" w:tentative="0">
      <w:start w:val="1"/>
      <w:numFmt w:val="decimal"/>
      <w:suff w:val="space"/>
      <w:lvlText w:val="%1）"/>
      <w:lvlJc w:val="left"/>
    </w:lvl>
  </w:abstractNum>
  <w:abstractNum w:abstractNumId="7">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777" w:hanging="567"/>
      </w:pPr>
    </w:lvl>
    <w:lvl w:ilvl="2" w:tentative="0">
      <w:start w:val="1"/>
      <w:numFmt w:val="decimal"/>
      <w:lvlText w:val="%1.%2.%3."/>
      <w:lvlJc w:val="left"/>
      <w:pPr>
        <w:ind w:left="112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7009F80A"/>
    <w:multiLevelType w:val="singleLevel"/>
    <w:tmpl w:val="7009F80A"/>
    <w:lvl w:ilvl="0" w:tentative="0">
      <w:start w:val="3"/>
      <w:numFmt w:val="decimal"/>
      <w:suff w:val="nothing"/>
      <w:lvlText w:val="%1）"/>
      <w:lvlJc w:val="left"/>
      <w:pPr>
        <w:ind w:left="-30" w:firstLine="0"/>
      </w:pPr>
    </w:lvl>
  </w:abstractNum>
  <w:abstractNum w:abstractNumId="10">
    <w:nsid w:val="724FC9D7"/>
    <w:multiLevelType w:val="singleLevel"/>
    <w:tmpl w:val="724FC9D7"/>
    <w:lvl w:ilvl="0" w:tentative="0">
      <w:start w:val="1"/>
      <w:numFmt w:val="chineseCounting"/>
      <w:suff w:val="nothing"/>
      <w:lvlText w:val="%1、"/>
      <w:lvlJc w:val="left"/>
      <w:pPr>
        <w:ind w:left="-420" w:firstLine="42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4"/>
  </w:num>
  <w:num w:numId="7">
    <w:abstractNumId w:val="10"/>
  </w:num>
  <w:num w:numId="8">
    <w:abstractNumId w:val="2"/>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A7D75"/>
    <w:rsid w:val="00506003"/>
    <w:rsid w:val="00906AE2"/>
    <w:rsid w:val="00FA6173"/>
    <w:rsid w:val="0A11787A"/>
    <w:rsid w:val="0C660672"/>
    <w:rsid w:val="0E8F0E59"/>
    <w:rsid w:val="32550A68"/>
    <w:rsid w:val="3430503A"/>
    <w:rsid w:val="39B6452C"/>
    <w:rsid w:val="42545344"/>
    <w:rsid w:val="53C01220"/>
    <w:rsid w:val="578A7D75"/>
    <w:rsid w:val="730C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ascii="楷体_GB2312" w:eastAsia="楷体_GB2312"/>
      <w:b/>
      <w:sz w:val="72"/>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uiPriority w:val="0"/>
    <w:rPr>
      <w:color w:val="0000FF"/>
      <w:u w:val="single"/>
    </w:rPr>
  </w:style>
  <w:style w:type="paragraph" w:customStyle="1" w:styleId="14">
    <w:name w:val="ITB-0"/>
    <w:basedOn w:val="1"/>
    <w:qFormat/>
    <w:uiPriority w:val="0"/>
    <w:pPr>
      <w:adjustRightInd w:val="0"/>
      <w:jc w:val="center"/>
    </w:pPr>
    <w:rPr>
      <w:b/>
      <w:sz w:val="32"/>
      <w:szCs w:val="20"/>
    </w:rPr>
  </w:style>
  <w:style w:type="paragraph" w:customStyle="1" w:styleId="15">
    <w:name w:val="bds"/>
    <w:basedOn w:val="1"/>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6">
    <w:name w:val="ifb-1"/>
    <w:basedOn w:val="1"/>
    <w:qFormat/>
    <w:uiPriority w:val="0"/>
    <w:pPr>
      <w:ind w:left="420" w:hanging="420"/>
    </w:pPr>
    <w:rPr>
      <w:rFonts w:ascii="楷体_GB2312" w:eastAsia="楷体_GB2312"/>
      <w:szCs w:val="20"/>
    </w:rPr>
  </w:style>
  <w:style w:type="paragraph" w:customStyle="1" w:styleId="17">
    <w:name w:val="列表段落1"/>
    <w:basedOn w:val="1"/>
    <w:qFormat/>
    <w:uiPriority w:val="0"/>
    <w:pPr>
      <w:ind w:firstLine="420" w:firstLineChars="200"/>
    </w:pPr>
    <w:rPr>
      <w:rFonts w:ascii="Calibri" w:hAnsi="Calibri"/>
      <w:szCs w:val="22"/>
    </w:rPr>
  </w:style>
  <w:style w:type="paragraph" w:customStyle="1" w:styleId="18">
    <w:name w:val="att"/>
    <w:basedOn w:val="1"/>
    <w:qFormat/>
    <w:uiPriority w:val="0"/>
    <w:pPr>
      <w:spacing w:line="360" w:lineRule="auto"/>
    </w:pPr>
    <w:rPr>
      <w:rFonts w:eastAsia="楷体_GB2312"/>
      <w:sz w:val="24"/>
      <w:szCs w:val="20"/>
    </w:rPr>
  </w:style>
  <w:style w:type="paragraph" w:customStyle="1" w:styleId="19">
    <w:name w:val="列出段落1"/>
    <w:basedOn w:val="1"/>
    <w:qFormat/>
    <w:uiPriority w:val="0"/>
    <w:pPr>
      <w:spacing w:line="300" w:lineRule="auto"/>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1019</Words>
  <Characters>5812</Characters>
  <Lines>48</Lines>
  <Paragraphs>13</Paragraphs>
  <TotalTime>4</TotalTime>
  <ScaleCrop>false</ScaleCrop>
  <LinksUpToDate>false</LinksUpToDate>
  <CharactersWithSpaces>6818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2021-07-30T06:54:00Z</dcterms:created>
  <dc:creator>共享账号请勿修改密码</dc:creator>
  <cp:lastModifiedBy>共享账号请勿修改密码</cp:lastModifiedBy>
  <dcterms:modified xsi:type="dcterms:W3CDTF">2021-08-06T07:50:23Z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8C1497EB11CF440F843DCB81B24523FD</vt:lpwstr>
  </property>
</Properties>
</file>