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ascii="华文仿宋" w:hAnsi="华文仿宋" w:eastAsia="华文仿宋" w:cs="华文仿宋"/>
          <w:sz w:val="60"/>
          <w:szCs w:val="60"/>
        </w:rPr>
      </w:pPr>
    </w:p>
    <w:p w14:paraId="2C41E0B2">
      <w:pPr>
        <w:pStyle w:val="16"/>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ascii="华文仿宋" w:hAnsi="华文仿宋" w:eastAsia="华文仿宋" w:cs="华文仿宋"/>
          <w:sz w:val="60"/>
          <w:szCs w:val="60"/>
        </w:rPr>
      </w:pPr>
    </w:p>
    <w:p w14:paraId="5999D30C">
      <w:pPr>
        <w:pStyle w:val="16"/>
        <w:rPr>
          <w:rFonts w:ascii="华文仿宋" w:hAnsi="华文仿宋" w:eastAsia="华文仿宋" w:cs="华文仿宋"/>
          <w:sz w:val="60"/>
          <w:szCs w:val="60"/>
        </w:rPr>
      </w:pPr>
    </w:p>
    <w:p w14:paraId="6CD2194E">
      <w:pPr>
        <w:pStyle w:val="16"/>
        <w:rPr>
          <w:rFonts w:ascii="华文仿宋" w:hAnsi="华文仿宋" w:eastAsia="华文仿宋" w:cs="华文仿宋"/>
          <w:sz w:val="56"/>
          <w:szCs w:val="56"/>
        </w:rPr>
      </w:pPr>
      <w:r>
        <w:rPr>
          <w:rFonts w:hint="eastAsia" w:ascii="华文仿宋" w:hAnsi="华文仿宋" w:eastAsia="华文仿宋"/>
          <w:sz w:val="56"/>
          <w:szCs w:val="56"/>
        </w:rPr>
        <w:t>两院区重要会议保障项目</w:t>
      </w:r>
    </w:p>
    <w:p w14:paraId="0D5492EA">
      <w:pPr>
        <w:pStyle w:val="16"/>
        <w:rPr>
          <w:rFonts w:ascii="华文仿宋" w:hAnsi="华文仿宋" w:eastAsia="华文仿宋" w:cs="华文仿宋"/>
          <w:sz w:val="60"/>
          <w:szCs w:val="60"/>
        </w:rPr>
      </w:pPr>
    </w:p>
    <w:p w14:paraId="49CE0E9F">
      <w:pPr>
        <w:pStyle w:val="16"/>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遴选编号：2025-ETLXXXB-005</w:t>
      </w:r>
    </w:p>
    <w:p w14:paraId="39F41592">
      <w:pPr>
        <w:pStyle w:val="16"/>
        <w:rPr>
          <w:rFonts w:ascii="华文仿宋" w:hAnsi="华文仿宋" w:eastAsia="华文仿宋" w:cs="华文仿宋"/>
          <w:sz w:val="36"/>
        </w:rPr>
      </w:pPr>
    </w:p>
    <w:p w14:paraId="153320BA">
      <w:pPr>
        <w:pStyle w:val="16"/>
        <w:rPr>
          <w:rFonts w:ascii="华文仿宋" w:hAnsi="华文仿宋" w:eastAsia="华文仿宋" w:cs="华文仿宋"/>
          <w:sz w:val="36"/>
        </w:rPr>
      </w:pPr>
      <w:r>
        <w:rPr>
          <w:rFonts w:hint="eastAsia" w:ascii="华文仿宋" w:hAnsi="华文仿宋" w:eastAsia="华文仿宋" w:cs="华文仿宋"/>
          <w:sz w:val="36"/>
        </w:rPr>
        <w:t>2025年</w:t>
      </w:r>
      <w:r>
        <w:rPr>
          <w:rFonts w:hint="eastAsia" w:ascii="华文仿宋" w:hAnsi="华文仿宋" w:eastAsia="华文仿宋" w:cs="华文仿宋"/>
          <w:sz w:val="36"/>
          <w:lang w:val="en-US" w:eastAsia="zh-CN"/>
        </w:rPr>
        <w:t>3</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6</w:t>
      </w:r>
      <w:r>
        <w:rPr>
          <w:rFonts w:hint="eastAsia" w:ascii="华文仿宋" w:hAnsi="华文仿宋" w:eastAsia="华文仿宋" w:cs="华文仿宋"/>
          <w:sz w:val="36"/>
        </w:rPr>
        <w:t>日</w:t>
      </w:r>
    </w:p>
    <w:p w14:paraId="52226836">
      <w:pPr>
        <w:pStyle w:val="16"/>
        <w:rPr>
          <w:rFonts w:ascii="华文仿宋" w:hAnsi="华文仿宋" w:eastAsia="华文仿宋" w:cs="华文仿宋"/>
          <w:sz w:val="36"/>
        </w:rPr>
      </w:pPr>
    </w:p>
    <w:p w14:paraId="3DB69250">
      <w:pPr>
        <w:pStyle w:val="16"/>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30"/>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ascii="宋体" w:hAnsi="宋体" w:cs="宋体"/>
          <w:sz w:val="24"/>
        </w:rPr>
      </w:pPr>
      <w:r>
        <w:rPr>
          <w:rFonts w:hint="eastAsia" w:ascii="宋体" w:hAnsi="宋体" w:cs="宋体"/>
          <w:sz w:val="24"/>
        </w:rPr>
        <w:t>遴选编号：2025-ETLXXXB-005</w:t>
      </w:r>
    </w:p>
    <w:p w14:paraId="6350636D">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8310" w:type="dxa"/>
        <w:tblInd w:w="114" w:type="dxa"/>
        <w:tblLayout w:type="fixed"/>
        <w:tblCellMar>
          <w:top w:w="0" w:type="dxa"/>
          <w:left w:w="108" w:type="dxa"/>
          <w:bottom w:w="0" w:type="dxa"/>
          <w:right w:w="108" w:type="dxa"/>
        </w:tblCellMar>
      </w:tblPr>
      <w:tblGrid>
        <w:gridCol w:w="840"/>
        <w:gridCol w:w="2640"/>
        <w:gridCol w:w="735"/>
        <w:gridCol w:w="4095"/>
      </w:tblGrid>
      <w:tr w14:paraId="5F267D97">
        <w:tblPrEx>
          <w:tblCellMar>
            <w:top w:w="0" w:type="dxa"/>
            <w:left w:w="108" w:type="dxa"/>
            <w:bottom w:w="0" w:type="dxa"/>
            <w:right w:w="108" w:type="dxa"/>
          </w:tblCellMar>
        </w:tblPrEx>
        <w:trPr>
          <w:trHeight w:val="607"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2640"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35"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095"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3164"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2640"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rPr>
              <w:t>两院区重要会议保障项目</w:t>
            </w:r>
          </w:p>
        </w:tc>
        <w:tc>
          <w:tcPr>
            <w:tcW w:w="735"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ascii="宋体" w:hAnsi="宋体"/>
                <w:szCs w:val="21"/>
              </w:rPr>
              <w:t>1</w:t>
            </w:r>
          </w:p>
        </w:tc>
        <w:tc>
          <w:tcPr>
            <w:tcW w:w="4095" w:type="dxa"/>
            <w:tcBorders>
              <w:top w:val="single" w:color="auto" w:sz="4" w:space="0"/>
              <w:left w:val="nil"/>
              <w:bottom w:val="single" w:color="auto" w:sz="4" w:space="0"/>
              <w:right w:val="single" w:color="auto" w:sz="4" w:space="0"/>
            </w:tcBorders>
            <w:shd w:val="clear" w:color="auto" w:fill="auto"/>
            <w:vAlign w:val="center"/>
          </w:tcPr>
          <w:p w14:paraId="18C6C55C">
            <w:pPr>
              <w:jc w:val="center"/>
            </w:pPr>
            <w:r>
              <w:drawing>
                <wp:inline distT="0" distB="0" distL="114300" distR="114300">
                  <wp:extent cx="1000760" cy="989330"/>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000760" cy="989330"/>
                          </a:xfrm>
                          <a:prstGeom prst="rect">
                            <a:avLst/>
                          </a:prstGeom>
                          <a:noFill/>
                          <a:ln>
                            <a:noFill/>
                          </a:ln>
                        </pic:spPr>
                      </pic:pic>
                    </a:graphicData>
                  </a:graphic>
                </wp:inline>
              </w:drawing>
            </w:r>
          </w:p>
          <w:p w14:paraId="6799A146">
            <w:pPr>
              <w:pStyle w:val="2"/>
              <w:jc w:val="center"/>
            </w:pPr>
            <w:r>
              <w:rPr>
                <w:rFonts w:hint="eastAsia"/>
              </w:rPr>
              <w:t>https://gysgl.shchildren.com.cn:9088/supplier/hospital/visit?pc=36090073-36090074</w:t>
            </w:r>
          </w:p>
        </w:tc>
      </w:tr>
    </w:tbl>
    <w:p w14:paraId="7C0828AA">
      <w:pPr>
        <w:pStyle w:val="31"/>
        <w:autoSpaceDE w:val="0"/>
        <w:autoSpaceDN w:val="0"/>
        <w:spacing w:line="360" w:lineRule="exact"/>
        <w:ind w:left="0" w:firstLine="420"/>
        <w:jc w:val="left"/>
        <w:rPr>
          <w:rFonts w:ascii="宋体" w:hAnsi="宋体" w:eastAsia="宋体" w:cs="宋体"/>
          <w:b/>
          <w:color w:val="FF0000"/>
          <w:sz w:val="24"/>
          <w:szCs w:val="24"/>
        </w:rPr>
      </w:pPr>
      <w:r>
        <w:rPr>
          <w:rFonts w:hint="eastAsia" w:ascii="宋体" w:hAnsi="宋体" w:eastAsia="宋体" w:cs="宋体"/>
          <w:b/>
          <w:color w:val="FF0000"/>
          <w:sz w:val="24"/>
          <w:szCs w:val="24"/>
        </w:rPr>
        <w:t>说明：以上包件可投一个或多个包件，每个包件必须单独提供遴选文件。</w:t>
      </w:r>
    </w:p>
    <w:p w14:paraId="459BF07C">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1"/>
        <w:numPr>
          <w:ilvl w:val="0"/>
          <w:numId w:val="2"/>
        </w:numPr>
        <w:autoSpaceDE w:val="0"/>
        <w:autoSpaceDN w:val="0"/>
        <w:spacing w:line="360" w:lineRule="exact"/>
        <w:jc w:val="left"/>
        <w:rPr>
          <w:rFonts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1"/>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2025年</w:t>
      </w: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6</w:t>
      </w:r>
      <w:r>
        <w:rPr>
          <w:rFonts w:hint="eastAsia" w:ascii="宋体" w:hAnsi="宋体" w:eastAsia="宋体" w:cs="宋体"/>
          <w:b/>
          <w:color w:val="FF0000"/>
          <w:sz w:val="24"/>
          <w:szCs w:val="24"/>
        </w:rPr>
        <w:t>日起至20</w:t>
      </w:r>
      <w:r>
        <w:rPr>
          <w:rFonts w:ascii="宋体" w:hAnsi="宋体" w:eastAsia="宋体" w:cs="宋体"/>
          <w:b/>
          <w:color w:val="FF0000"/>
          <w:sz w:val="24"/>
          <w:szCs w:val="24"/>
        </w:rPr>
        <w:t>2</w:t>
      </w:r>
      <w:r>
        <w:rPr>
          <w:rFonts w:hint="eastAsia" w:ascii="宋体" w:hAnsi="宋体" w:eastAsia="宋体" w:cs="宋体"/>
          <w:b/>
          <w:color w:val="FF0000"/>
          <w:sz w:val="24"/>
          <w:szCs w:val="24"/>
        </w:rPr>
        <w:t>5年</w:t>
      </w: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12</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7"/>
          <w:rFonts w:hint="eastAsia" w:ascii="宋体" w:hAnsi="宋体" w:eastAsia="宋体"/>
          <w:sz w:val="24"/>
          <w:szCs w:val="24"/>
        </w:rPr>
        <w:t>https://www.shchildren.com.cn/channels/641.html</w:t>
      </w:r>
      <w:r>
        <w:rPr>
          <w:rStyle w:val="27"/>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1"/>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服务方案（格式自拟）；</w:t>
      </w:r>
    </w:p>
    <w:p w14:paraId="3221135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服务承诺（格式自拟）；</w:t>
      </w:r>
    </w:p>
    <w:p w14:paraId="089B3CBE">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1"/>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7"/>
          <w:rFonts w:hint="eastAsia" w:ascii="宋体" w:hAnsi="宋体" w:eastAsia="宋体" w:cs="宋体"/>
          <w:sz w:val="24"/>
          <w:szCs w:val="24"/>
        </w:rPr>
        <w:t>liyi@shchildren.com.cn</w:t>
      </w:r>
      <w:r>
        <w:rPr>
          <w:rStyle w:val="27"/>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1"/>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1"/>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1"/>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1"/>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7"/>
          <w:rFonts w:hint="eastAsia" w:ascii="宋体" w:hAnsi="宋体" w:cs="宋体"/>
          <w:sz w:val="24"/>
        </w:rPr>
        <w:fldChar w:fldCharType="begin"/>
      </w:r>
      <w:r>
        <w:rPr>
          <w:rStyle w:val="27"/>
          <w:rFonts w:hint="eastAsia" w:ascii="宋体" w:hAnsi="宋体" w:cs="宋体"/>
          <w:sz w:val="24"/>
        </w:rPr>
        <w:instrText xml:space="preserve"> HYPERLINK "mailto: baij@shchildren.com.cn" </w:instrText>
      </w:r>
      <w:r>
        <w:rPr>
          <w:rStyle w:val="27"/>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7"/>
          <w:rFonts w:hint="eastAsia" w:ascii="宋体" w:hAnsi="宋体" w:cs="宋体"/>
          <w:sz w:val="24"/>
        </w:rPr>
        <w:t>liyi@shchildren.com.cn</w:t>
      </w:r>
      <w:r>
        <w:rPr>
          <w:rStyle w:val="27"/>
          <w:rFonts w:hint="eastAsia" w:ascii="宋体" w:hAnsi="宋体" w:cs="宋体"/>
          <w:sz w:val="24"/>
        </w:rPr>
        <w:fldChar w:fldCharType="end"/>
      </w:r>
      <w:r>
        <w:rPr>
          <w:rStyle w:val="27"/>
          <w:rFonts w:hint="eastAsia" w:ascii="宋体" w:hAnsi="宋体" w:cs="宋体"/>
          <w:sz w:val="24"/>
        </w:rPr>
        <w:fldChar w:fldCharType="end"/>
      </w:r>
    </w:p>
    <w:p w14:paraId="1CF82D0B">
      <w:pPr>
        <w:numPr>
          <w:ilvl w:val="0"/>
          <w:numId w:val="2"/>
        </w:numPr>
        <w:snapToGrid w:val="0"/>
        <w:spacing w:line="360" w:lineRule="auto"/>
        <w:rPr>
          <w:rFonts w:ascii="宋体" w:hAnsi="宋体"/>
          <w:b/>
          <w:bCs/>
          <w:sz w:val="24"/>
        </w:rPr>
      </w:pPr>
      <w:r>
        <w:rPr>
          <w:rFonts w:hint="eastAsia" w:ascii="宋体" w:hAnsi="宋体"/>
          <w:b/>
          <w:bCs/>
          <w:sz w:val="24"/>
        </w:rPr>
        <w:t>遴选文件的内容</w:t>
      </w:r>
    </w:p>
    <w:p w14:paraId="6272BBBC">
      <w:pPr>
        <w:snapToGrid w:val="0"/>
        <w:spacing w:line="360" w:lineRule="auto"/>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numPr>
          <w:ilvl w:val="0"/>
          <w:numId w:val="2"/>
        </w:numPr>
        <w:snapToGrid w:val="0"/>
        <w:spacing w:line="360" w:lineRule="auto"/>
        <w:rPr>
          <w:rFonts w:ascii="宋体" w:hAnsi="宋体"/>
          <w:b/>
          <w:bCs/>
          <w:sz w:val="24"/>
        </w:rPr>
      </w:pPr>
      <w:r>
        <w:rPr>
          <w:rFonts w:hint="eastAsia" w:ascii="宋体" w:hAnsi="宋体"/>
          <w:b/>
          <w:bCs/>
          <w:sz w:val="24"/>
        </w:rPr>
        <w:t>遴选文件的澄清和解答</w:t>
      </w:r>
    </w:p>
    <w:p w14:paraId="26465961">
      <w:pPr>
        <w:snapToGrid w:val="0"/>
        <w:spacing w:line="360" w:lineRule="auto"/>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numPr>
          <w:ilvl w:val="0"/>
          <w:numId w:val="2"/>
        </w:numPr>
        <w:snapToGrid w:val="0"/>
        <w:spacing w:line="360" w:lineRule="auto"/>
        <w:rPr>
          <w:rFonts w:ascii="宋体" w:hAnsi="宋体"/>
          <w:b/>
          <w:bCs/>
          <w:sz w:val="24"/>
        </w:rPr>
      </w:pPr>
      <w:r>
        <w:rPr>
          <w:rFonts w:hint="eastAsia" w:ascii="宋体" w:hAnsi="宋体"/>
          <w:b/>
          <w:bCs/>
          <w:sz w:val="24"/>
        </w:rPr>
        <w:t>遴选文件的修改</w:t>
      </w:r>
    </w:p>
    <w:p w14:paraId="2FDFA105">
      <w:pPr>
        <w:snapToGrid w:val="0"/>
        <w:spacing w:line="360" w:lineRule="auto"/>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1"/>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2025年</w:t>
      </w:r>
      <w:r>
        <w:rPr>
          <w:rFonts w:hint="eastAsia" w:ascii="宋体" w:hAnsi="宋体" w:eastAsia="宋体" w:cs="宋体"/>
          <w:b/>
          <w:sz w:val="24"/>
          <w:szCs w:val="24"/>
          <w:lang w:val="en-US" w:eastAsia="zh-CN"/>
        </w:rPr>
        <w:t>3</w:t>
      </w:r>
      <w:r>
        <w:rPr>
          <w:rFonts w:hint="eastAsia" w:ascii="宋体" w:hAnsi="宋体" w:eastAsia="宋体" w:cs="宋体"/>
          <w:b/>
          <w:sz w:val="24"/>
          <w:szCs w:val="24"/>
        </w:rPr>
        <w:t xml:space="preserve">月 </w:t>
      </w:r>
      <w:r>
        <w:rPr>
          <w:rFonts w:hint="eastAsia" w:ascii="宋体" w:hAnsi="宋体" w:eastAsia="宋体" w:cs="宋体"/>
          <w:b/>
          <w:sz w:val="24"/>
          <w:szCs w:val="24"/>
          <w:lang w:val="en-US" w:eastAsia="zh-CN"/>
        </w:rPr>
        <w:t>13</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00</w:t>
      </w:r>
      <w:r>
        <w:rPr>
          <w:rFonts w:hint="eastAsia" w:ascii="宋体" w:hAnsi="宋体" w:eastAsia="宋体" w:cs="宋体"/>
          <w:b/>
          <w:sz w:val="24"/>
          <w:szCs w:val="24"/>
        </w:rPr>
        <w:t>前10分钟</w:t>
      </w:r>
      <w:r>
        <w:rPr>
          <w:rFonts w:hint="eastAsia" w:ascii="宋体" w:hAnsi="宋体" w:eastAsia="宋体" w:cs="宋体"/>
          <w:bCs/>
          <w:sz w:val="24"/>
          <w:szCs w:val="24"/>
        </w:rPr>
        <w:t>提交至上海市泸定路355号住院部503会议室，并于</w:t>
      </w:r>
      <w:r>
        <w:rPr>
          <w:rFonts w:hint="eastAsia" w:ascii="宋体" w:hAnsi="宋体" w:eastAsia="宋体" w:cs="宋体"/>
          <w:b/>
          <w:color w:val="FF0000"/>
          <w:sz w:val="24"/>
          <w:szCs w:val="24"/>
          <w:u w:val="single"/>
        </w:rPr>
        <w:t>2025年</w:t>
      </w:r>
      <w:r>
        <w:rPr>
          <w:rFonts w:hint="eastAsia" w:ascii="宋体" w:hAnsi="宋体" w:eastAsia="宋体" w:cs="宋体"/>
          <w:b/>
          <w:color w:val="FF0000"/>
          <w:sz w:val="24"/>
          <w:szCs w:val="24"/>
          <w:u w:val="single"/>
          <w:lang w:val="en-US" w:eastAsia="zh-CN"/>
        </w:rPr>
        <w:t>3</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13</w:t>
      </w:r>
      <w:r>
        <w:rPr>
          <w:rFonts w:hint="eastAsia" w:ascii="宋体" w:hAnsi="宋体" w:eastAsia="宋体" w:cs="宋体"/>
          <w:b/>
          <w:color w:val="FF0000"/>
          <w:sz w:val="24"/>
          <w:szCs w:val="24"/>
          <w:u w:val="single"/>
        </w:rPr>
        <w:t>日北京时间14:00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1"/>
        <w:numPr>
          <w:ilvl w:val="0"/>
          <w:numId w:val="2"/>
        </w:numPr>
        <w:autoSpaceDE w:val="0"/>
        <w:autoSpaceDN w:val="0"/>
        <w:spacing w:line="360" w:lineRule="exact"/>
        <w:jc w:val="left"/>
        <w:rPr>
          <w:rFonts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ascii="宋体" w:hAnsi="宋体"/>
          <w:sz w:val="24"/>
        </w:rPr>
      </w:pPr>
      <w:r>
        <w:rPr>
          <w:rFonts w:hint="eastAsia" w:ascii="宋体" w:hAnsi="宋体"/>
          <w:sz w:val="24"/>
        </w:rPr>
        <w:t>1）提供法定代表人授权书（原件</w:t>
      </w:r>
      <w:bookmarkStart w:id="9" w:name="_GoBack"/>
      <w:bookmarkEnd w:id="9"/>
      <w:r>
        <w:rPr>
          <w:rFonts w:hint="eastAsia" w:ascii="宋体" w:hAnsi="宋体"/>
          <w:sz w:val="24"/>
        </w:rPr>
        <w:t>）（</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ascii="宋体" w:hAnsi="宋体"/>
          <w:sz w:val="24"/>
        </w:rPr>
      </w:pPr>
      <w:r>
        <w:rPr>
          <w:rFonts w:hint="eastAsia" w:ascii="宋体" w:hAnsi="宋体"/>
          <w:sz w:val="24"/>
        </w:rPr>
        <w:t>3）档案袋密封完好的全套参选文件正本一份。</w:t>
      </w:r>
    </w:p>
    <w:p w14:paraId="76D8179C">
      <w:pPr>
        <w:spacing w:line="360" w:lineRule="exact"/>
        <w:ind w:firstLine="560"/>
        <w:rPr>
          <w:rFonts w:ascii="宋体" w:hAnsi="宋体" w:cs="宋体"/>
          <w:bCs/>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6"/>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D308575">
      <w:pPr>
        <w:pStyle w:val="20"/>
        <w:numPr>
          <w:ilvl w:val="0"/>
          <w:numId w:val="6"/>
        </w:numPr>
        <w:spacing w:line="288" w:lineRule="auto"/>
        <w:ind w:left="845"/>
        <w:rPr>
          <w:rFonts w:cs="宋体"/>
          <w:shd w:val="clear" w:color="auto" w:fill="auto"/>
        </w:rPr>
      </w:pPr>
      <w:r>
        <w:rPr>
          <w:rFonts w:hint="eastAsia" w:cs="宋体"/>
          <w:shd w:val="clear" w:color="auto" w:fill="auto"/>
        </w:rPr>
        <w:t>医院将根据质量和服务均能满足采购文件实质性响应要求综合评定的原则确定成交供应商。具体评分标准如下：</w:t>
      </w:r>
    </w:p>
    <w:p w14:paraId="7DBB8848">
      <w:pPr>
        <w:pStyle w:val="20"/>
        <w:spacing w:line="240" w:lineRule="auto"/>
        <w:ind w:left="0" w:firstLine="0"/>
        <w:rPr>
          <w:rFonts w:cs="宋体"/>
          <w:shd w:val="clear" w:color="auto" w:fill="auto"/>
        </w:rPr>
      </w:pPr>
    </w:p>
    <w:tbl>
      <w:tblPr>
        <w:tblStyle w:val="21"/>
        <w:tblW w:w="8796" w:type="dxa"/>
        <w:tblInd w:w="0" w:type="dxa"/>
        <w:tblLayout w:type="fixed"/>
        <w:tblCellMar>
          <w:top w:w="0" w:type="dxa"/>
          <w:left w:w="108" w:type="dxa"/>
          <w:bottom w:w="0" w:type="dxa"/>
          <w:right w:w="108" w:type="dxa"/>
        </w:tblCellMar>
      </w:tblPr>
      <w:tblGrid>
        <w:gridCol w:w="864"/>
        <w:gridCol w:w="1334"/>
        <w:gridCol w:w="1053"/>
        <w:gridCol w:w="5545"/>
      </w:tblGrid>
      <w:tr w14:paraId="2F4752AA">
        <w:tblPrEx>
          <w:tblCellMar>
            <w:top w:w="0" w:type="dxa"/>
            <w:left w:w="108" w:type="dxa"/>
            <w:bottom w:w="0" w:type="dxa"/>
            <w:right w:w="108" w:type="dxa"/>
          </w:tblCellMar>
        </w:tblPrEx>
        <w:trPr>
          <w:trHeight w:val="767"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69C9CC4">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334" w:type="dxa"/>
            <w:tcBorders>
              <w:top w:val="single" w:color="000000" w:sz="4" w:space="0"/>
              <w:left w:val="single" w:color="000000" w:sz="4" w:space="0"/>
              <w:bottom w:val="single" w:color="000000" w:sz="4" w:space="0"/>
              <w:right w:val="single" w:color="000000" w:sz="4" w:space="0"/>
            </w:tcBorders>
            <w:vAlign w:val="center"/>
          </w:tcPr>
          <w:p w14:paraId="3D7E118F">
            <w:pPr>
              <w:widowControl/>
              <w:jc w:val="center"/>
              <w:textAlignment w:val="center"/>
              <w:rPr>
                <w:rFonts w:ascii="宋体" w:hAnsi="宋体" w:cs="宋体"/>
                <w:color w:val="000000"/>
                <w:sz w:val="24"/>
              </w:rPr>
            </w:pPr>
            <w:r>
              <w:rPr>
                <w:rStyle w:val="41"/>
                <w:rFonts w:hint="default"/>
                <w:lang w:bidi="ar"/>
              </w:rPr>
              <w:t>评分项目</w:t>
            </w:r>
          </w:p>
        </w:tc>
        <w:tc>
          <w:tcPr>
            <w:tcW w:w="1053" w:type="dxa"/>
            <w:tcBorders>
              <w:top w:val="single" w:color="000000" w:sz="4" w:space="0"/>
              <w:left w:val="single" w:color="000000" w:sz="4" w:space="0"/>
              <w:bottom w:val="single" w:color="000000" w:sz="4" w:space="0"/>
              <w:right w:val="single" w:color="000000" w:sz="4" w:space="0"/>
            </w:tcBorders>
            <w:vAlign w:val="center"/>
          </w:tcPr>
          <w:p w14:paraId="49063D24">
            <w:pPr>
              <w:widowControl/>
              <w:jc w:val="center"/>
              <w:textAlignment w:val="center"/>
              <w:rPr>
                <w:rFonts w:ascii="宋体" w:hAnsi="宋体" w:cs="宋体"/>
                <w:color w:val="000000"/>
                <w:sz w:val="24"/>
              </w:rPr>
            </w:pPr>
            <w:r>
              <w:rPr>
                <w:rFonts w:hint="eastAsia" w:ascii="宋体" w:hAnsi="宋体" w:cs="宋体"/>
                <w:color w:val="000000"/>
                <w:sz w:val="24"/>
              </w:rPr>
              <w:t>分值</w:t>
            </w:r>
          </w:p>
        </w:tc>
        <w:tc>
          <w:tcPr>
            <w:tcW w:w="5545" w:type="dxa"/>
            <w:tcBorders>
              <w:top w:val="single" w:color="000000" w:sz="4" w:space="0"/>
              <w:left w:val="single" w:color="000000" w:sz="4" w:space="0"/>
              <w:bottom w:val="single" w:color="000000" w:sz="4" w:space="0"/>
              <w:right w:val="single" w:color="000000" w:sz="4" w:space="0"/>
            </w:tcBorders>
            <w:vAlign w:val="center"/>
          </w:tcPr>
          <w:p w14:paraId="16F88018">
            <w:pPr>
              <w:widowControl/>
              <w:jc w:val="center"/>
              <w:textAlignment w:val="center"/>
              <w:rPr>
                <w:rFonts w:ascii="宋体" w:hAnsi="宋体" w:cs="宋体"/>
                <w:sz w:val="24"/>
              </w:rPr>
            </w:pPr>
            <w:r>
              <w:rPr>
                <w:rStyle w:val="41"/>
                <w:rFonts w:hint="default"/>
                <w:color w:val="auto"/>
                <w:lang w:bidi="ar"/>
              </w:rPr>
              <w:t>评分要点及说明</w:t>
            </w:r>
          </w:p>
        </w:tc>
      </w:tr>
      <w:tr w14:paraId="6D82A857">
        <w:tblPrEx>
          <w:tblCellMar>
            <w:top w:w="0" w:type="dxa"/>
            <w:left w:w="108" w:type="dxa"/>
            <w:bottom w:w="0" w:type="dxa"/>
            <w:right w:w="108" w:type="dxa"/>
          </w:tblCellMar>
        </w:tblPrEx>
        <w:trPr>
          <w:trHeight w:val="482"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3334661B">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34" w:type="dxa"/>
            <w:tcBorders>
              <w:top w:val="single" w:color="000000" w:sz="4" w:space="0"/>
              <w:left w:val="single" w:color="000000" w:sz="4" w:space="0"/>
              <w:bottom w:val="single" w:color="000000" w:sz="4" w:space="0"/>
              <w:right w:val="single" w:color="000000" w:sz="4" w:space="0"/>
            </w:tcBorders>
            <w:vAlign w:val="center"/>
          </w:tcPr>
          <w:p w14:paraId="4FD06EB8">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1053" w:type="dxa"/>
            <w:tcBorders>
              <w:top w:val="single" w:color="000000" w:sz="4" w:space="0"/>
              <w:left w:val="single" w:color="000000" w:sz="4" w:space="0"/>
              <w:bottom w:val="single" w:color="000000" w:sz="4" w:space="0"/>
              <w:right w:val="single" w:color="000000" w:sz="4" w:space="0"/>
            </w:tcBorders>
            <w:vAlign w:val="center"/>
          </w:tcPr>
          <w:p w14:paraId="52E92CA2">
            <w:pPr>
              <w:widowControl/>
              <w:jc w:val="center"/>
              <w:textAlignment w:val="center"/>
              <w:rPr>
                <w:rFonts w:hint="default" w:ascii="宋体" w:hAnsi="宋体" w:eastAsia="宋体" w:cs="宋体"/>
                <w:color w:val="000000"/>
                <w:sz w:val="24"/>
                <w:lang w:val="en-US" w:eastAsia="zh-CN"/>
              </w:rPr>
            </w:pPr>
            <w:r>
              <w:rPr>
                <w:rStyle w:val="41"/>
                <w:rFonts w:hint="eastAsia"/>
                <w:lang w:val="en-US" w:eastAsia="zh-CN" w:bidi="ar"/>
              </w:rPr>
              <w:t>30</w:t>
            </w:r>
          </w:p>
        </w:tc>
        <w:tc>
          <w:tcPr>
            <w:tcW w:w="5545" w:type="dxa"/>
            <w:tcBorders>
              <w:top w:val="single" w:color="000000" w:sz="4" w:space="0"/>
              <w:left w:val="single" w:color="000000" w:sz="4" w:space="0"/>
              <w:bottom w:val="single" w:color="000000" w:sz="4" w:space="0"/>
              <w:right w:val="single" w:color="000000" w:sz="4" w:space="0"/>
            </w:tcBorders>
            <w:vAlign w:val="center"/>
          </w:tcPr>
          <w:p w14:paraId="6AB53D92">
            <w:pPr>
              <w:spacing w:line="460" w:lineRule="exact"/>
              <w:jc w:val="left"/>
              <w:rPr>
                <w:rFonts w:ascii="宋体" w:hAnsi="宋体" w:cs="宋体"/>
                <w:sz w:val="24"/>
              </w:rPr>
            </w:pPr>
            <w:r>
              <w:rPr>
                <w:rFonts w:hint="eastAsia" w:ascii="宋体" w:hAnsi="宋体" w:cs="宋体"/>
                <w:sz w:val="24"/>
              </w:rPr>
              <w:t>N＝</w:t>
            </w:r>
            <w:r>
              <w:rPr>
                <w:rFonts w:hint="eastAsia" w:ascii="宋体" w:hAnsi="宋体" w:cs="宋体"/>
                <w:sz w:val="24"/>
                <w:lang w:val="en-US" w:eastAsia="zh-CN"/>
              </w:rPr>
              <w:t>30</w:t>
            </w:r>
            <w:r>
              <w:rPr>
                <w:rFonts w:hint="eastAsia" w:ascii="宋体" w:hAnsi="宋体" w:cs="宋体"/>
                <w:sz w:val="24"/>
              </w:rPr>
              <w:t>*所有投标中的有效最低投标报价/合格投标人的投标报价。说明：“N”表示报价得分；</w:t>
            </w:r>
          </w:p>
        </w:tc>
      </w:tr>
      <w:tr w14:paraId="1A10236A">
        <w:tblPrEx>
          <w:tblCellMar>
            <w:top w:w="0" w:type="dxa"/>
            <w:left w:w="108" w:type="dxa"/>
            <w:bottom w:w="0" w:type="dxa"/>
            <w:right w:w="108" w:type="dxa"/>
          </w:tblCellMar>
        </w:tblPrEx>
        <w:trPr>
          <w:trHeight w:val="1005"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4B6053FB">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334" w:type="dxa"/>
            <w:tcBorders>
              <w:top w:val="single" w:color="000000" w:sz="4" w:space="0"/>
              <w:left w:val="single" w:color="000000" w:sz="4" w:space="0"/>
              <w:bottom w:val="single" w:color="000000" w:sz="4" w:space="0"/>
              <w:right w:val="single" w:color="000000" w:sz="4" w:space="0"/>
            </w:tcBorders>
            <w:vAlign w:val="center"/>
          </w:tcPr>
          <w:p w14:paraId="424126A9">
            <w:pPr>
              <w:widowControl/>
              <w:jc w:val="center"/>
              <w:textAlignment w:val="center"/>
              <w:rPr>
                <w:rFonts w:ascii="宋体" w:hAnsi="宋体" w:cs="宋体"/>
                <w:color w:val="000000"/>
                <w:sz w:val="24"/>
              </w:rPr>
            </w:pPr>
            <w:r>
              <w:rPr>
                <w:rFonts w:hint="eastAsia" w:ascii="宋体" w:hAnsi="宋体" w:cs="宋体"/>
                <w:color w:val="000000"/>
                <w:kern w:val="0"/>
                <w:sz w:val="24"/>
                <w:lang w:bidi="ar"/>
              </w:rPr>
              <w:t>需求响应情况</w:t>
            </w:r>
          </w:p>
        </w:tc>
        <w:tc>
          <w:tcPr>
            <w:tcW w:w="1053" w:type="dxa"/>
            <w:tcBorders>
              <w:top w:val="single" w:color="000000" w:sz="4" w:space="0"/>
              <w:left w:val="single" w:color="000000" w:sz="4" w:space="0"/>
              <w:bottom w:val="single" w:color="000000" w:sz="4" w:space="0"/>
              <w:right w:val="single" w:color="000000" w:sz="4" w:space="0"/>
            </w:tcBorders>
            <w:vAlign w:val="center"/>
          </w:tcPr>
          <w:p w14:paraId="6D5FC44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20</w:t>
            </w:r>
          </w:p>
        </w:tc>
        <w:tc>
          <w:tcPr>
            <w:tcW w:w="5545" w:type="dxa"/>
            <w:tcBorders>
              <w:top w:val="single" w:color="000000" w:sz="4" w:space="0"/>
              <w:left w:val="single" w:color="000000" w:sz="4" w:space="0"/>
              <w:bottom w:val="single" w:color="000000" w:sz="4" w:space="0"/>
              <w:right w:val="single" w:color="000000" w:sz="4" w:space="0"/>
            </w:tcBorders>
            <w:vAlign w:val="center"/>
          </w:tcPr>
          <w:p w14:paraId="0DF6FB68">
            <w:pPr>
              <w:widowControl/>
              <w:textAlignment w:val="center"/>
              <w:rPr>
                <w:rFonts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619259D3">
        <w:tblPrEx>
          <w:tblCellMar>
            <w:top w:w="0" w:type="dxa"/>
            <w:left w:w="108" w:type="dxa"/>
            <w:bottom w:w="0" w:type="dxa"/>
            <w:right w:w="108" w:type="dxa"/>
          </w:tblCellMar>
        </w:tblPrEx>
        <w:trPr>
          <w:trHeight w:val="406"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21F92F32">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334" w:type="dxa"/>
            <w:tcBorders>
              <w:top w:val="single" w:color="000000" w:sz="4" w:space="0"/>
              <w:left w:val="single" w:color="000000" w:sz="4" w:space="0"/>
              <w:bottom w:val="single" w:color="000000" w:sz="4" w:space="0"/>
              <w:right w:val="single" w:color="000000" w:sz="4" w:space="0"/>
            </w:tcBorders>
            <w:vAlign w:val="center"/>
          </w:tcPr>
          <w:p w14:paraId="2B77D5C8">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服务方案</w:t>
            </w:r>
          </w:p>
        </w:tc>
        <w:tc>
          <w:tcPr>
            <w:tcW w:w="1053" w:type="dxa"/>
            <w:tcBorders>
              <w:top w:val="single" w:color="000000" w:sz="4" w:space="0"/>
              <w:left w:val="single" w:color="000000" w:sz="4" w:space="0"/>
              <w:bottom w:val="single" w:color="000000" w:sz="4" w:space="0"/>
              <w:right w:val="single" w:color="000000" w:sz="4" w:space="0"/>
            </w:tcBorders>
            <w:vAlign w:val="center"/>
          </w:tcPr>
          <w:p w14:paraId="44FF48B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25</w:t>
            </w:r>
          </w:p>
        </w:tc>
        <w:tc>
          <w:tcPr>
            <w:tcW w:w="5545" w:type="dxa"/>
            <w:tcBorders>
              <w:top w:val="single" w:color="000000" w:sz="4" w:space="0"/>
              <w:left w:val="single" w:color="000000" w:sz="4" w:space="0"/>
              <w:bottom w:val="single" w:color="000000" w:sz="4" w:space="0"/>
              <w:right w:val="single" w:color="000000" w:sz="4" w:space="0"/>
            </w:tcBorders>
            <w:vAlign w:val="center"/>
          </w:tcPr>
          <w:p w14:paraId="174D8E40">
            <w:pPr>
              <w:widowControl/>
              <w:textAlignment w:val="center"/>
              <w:rPr>
                <w:rFonts w:ascii="宋体" w:hAnsi="宋体" w:cs="宋体"/>
                <w:color w:val="000000"/>
                <w:sz w:val="24"/>
              </w:rPr>
            </w:pPr>
            <w:r>
              <w:rPr>
                <w:rFonts w:hint="eastAsia" w:ascii="宋体" w:hAnsi="宋体" w:cs="宋体"/>
                <w:color w:val="000000"/>
                <w:sz w:val="24"/>
              </w:rPr>
              <w:t>在满足招标人服务要求及标准的前提下，比较各投标人提交的服务技术功能、服务方案、服务统计等方案，并结合投标人对服务要求条款偏离情况进行打分。</w:t>
            </w:r>
          </w:p>
          <w:p w14:paraId="03481E46">
            <w:pPr>
              <w:widowControl/>
              <w:textAlignment w:val="center"/>
              <w:rPr>
                <w:rFonts w:ascii="宋体" w:hAnsi="宋体" w:cs="宋体"/>
                <w:color w:val="000000"/>
                <w:sz w:val="24"/>
              </w:rPr>
            </w:pPr>
            <w:r>
              <w:rPr>
                <w:rFonts w:hint="eastAsia" w:ascii="宋体" w:hAnsi="宋体" w:cs="宋体"/>
                <w:color w:val="000000"/>
                <w:sz w:val="24"/>
              </w:rPr>
              <w:t>最好，得1</w:t>
            </w:r>
            <w:r>
              <w:rPr>
                <w:rFonts w:hint="eastAsia" w:ascii="宋体" w:hAnsi="宋体" w:cs="宋体"/>
                <w:color w:val="000000"/>
                <w:sz w:val="24"/>
                <w:lang w:val="en-US" w:eastAsia="zh-CN"/>
              </w:rPr>
              <w:t>8</w:t>
            </w:r>
            <w:r>
              <w:rPr>
                <w:rFonts w:hint="eastAsia" w:ascii="宋体" w:hAnsi="宋体" w:cs="宋体"/>
                <w:color w:val="000000"/>
                <w:sz w:val="24"/>
              </w:rPr>
              <w:t>分-</w:t>
            </w:r>
            <w:r>
              <w:rPr>
                <w:rFonts w:hint="eastAsia" w:ascii="宋体" w:hAnsi="宋体" w:cs="宋体"/>
                <w:color w:val="000000"/>
                <w:sz w:val="24"/>
                <w:lang w:val="en-US" w:eastAsia="zh-CN"/>
              </w:rPr>
              <w:t>25</w:t>
            </w:r>
            <w:r>
              <w:rPr>
                <w:rFonts w:hint="eastAsia" w:ascii="宋体" w:hAnsi="宋体" w:cs="宋体"/>
                <w:color w:val="000000"/>
                <w:sz w:val="24"/>
              </w:rPr>
              <w:t>分（含）；一般，得</w:t>
            </w:r>
            <w:r>
              <w:rPr>
                <w:rFonts w:hint="eastAsia" w:ascii="宋体" w:hAnsi="宋体" w:cs="宋体"/>
                <w:color w:val="000000"/>
                <w:sz w:val="24"/>
                <w:lang w:val="en-US" w:eastAsia="zh-CN"/>
              </w:rPr>
              <w:t>9</w:t>
            </w:r>
            <w:r>
              <w:rPr>
                <w:rFonts w:hint="eastAsia" w:ascii="宋体" w:hAnsi="宋体" w:cs="宋体"/>
                <w:color w:val="000000"/>
                <w:sz w:val="24"/>
              </w:rPr>
              <w:t>分-</w:t>
            </w:r>
            <w:r>
              <w:rPr>
                <w:rFonts w:hint="eastAsia" w:ascii="宋体" w:hAnsi="宋体" w:cs="宋体"/>
                <w:color w:val="000000"/>
                <w:sz w:val="24"/>
                <w:lang w:val="en-US" w:eastAsia="zh-CN"/>
              </w:rPr>
              <w:t>17</w:t>
            </w:r>
            <w:r>
              <w:rPr>
                <w:rFonts w:hint="eastAsia" w:ascii="宋体" w:hAnsi="宋体" w:cs="宋体"/>
                <w:color w:val="000000"/>
                <w:sz w:val="24"/>
              </w:rPr>
              <w:t>分（含）；较差，得0分（含）-</w:t>
            </w:r>
            <w:r>
              <w:rPr>
                <w:rFonts w:hint="eastAsia" w:ascii="宋体" w:hAnsi="宋体" w:cs="宋体"/>
                <w:color w:val="000000"/>
                <w:sz w:val="24"/>
                <w:lang w:val="en-US" w:eastAsia="zh-CN"/>
              </w:rPr>
              <w:t>8</w:t>
            </w:r>
            <w:r>
              <w:rPr>
                <w:rFonts w:hint="eastAsia" w:ascii="宋体" w:hAnsi="宋体" w:cs="宋体"/>
                <w:color w:val="000000"/>
                <w:sz w:val="24"/>
              </w:rPr>
              <w:t>分（含）。</w:t>
            </w:r>
          </w:p>
        </w:tc>
      </w:tr>
      <w:tr w14:paraId="22CBBD67">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EE57">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4</w:t>
            </w:r>
          </w:p>
        </w:tc>
        <w:tc>
          <w:tcPr>
            <w:tcW w:w="1334" w:type="dxa"/>
            <w:tcBorders>
              <w:top w:val="single" w:color="000000" w:sz="4" w:space="0"/>
              <w:left w:val="single" w:color="000000" w:sz="4" w:space="0"/>
              <w:bottom w:val="single" w:color="000000" w:sz="4" w:space="0"/>
              <w:right w:val="single" w:color="000000" w:sz="4" w:space="0"/>
            </w:tcBorders>
            <w:vAlign w:val="center"/>
          </w:tcPr>
          <w:p w14:paraId="191B849A">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售后服务方案</w:t>
            </w:r>
          </w:p>
        </w:tc>
        <w:tc>
          <w:tcPr>
            <w:tcW w:w="1053" w:type="dxa"/>
            <w:tcBorders>
              <w:top w:val="single" w:color="000000" w:sz="4" w:space="0"/>
              <w:left w:val="single" w:color="000000" w:sz="4" w:space="0"/>
              <w:bottom w:val="single" w:color="000000" w:sz="4" w:space="0"/>
              <w:right w:val="single" w:color="000000" w:sz="4" w:space="0"/>
            </w:tcBorders>
            <w:vAlign w:val="center"/>
          </w:tcPr>
          <w:p w14:paraId="5A71F223">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4954275C">
            <w:pPr>
              <w:widowControl/>
              <w:textAlignment w:val="center"/>
              <w:rPr>
                <w:rFonts w:hint="eastAsia" w:ascii="宋体" w:hAnsi="宋体" w:cs="宋体"/>
                <w:spacing w:val="8"/>
                <w:kern w:val="0"/>
                <w:sz w:val="24"/>
              </w:rPr>
            </w:pPr>
            <w:r>
              <w:rPr>
                <w:rFonts w:hint="eastAsia" w:ascii="宋体" w:hAnsi="宋体" w:cs="宋体"/>
                <w:spacing w:val="8"/>
                <w:kern w:val="0"/>
                <w:sz w:val="24"/>
              </w:rPr>
              <w:t>在满足招标人服务要求及标准的前提下，比较各投标人提交的售后服务方案，内容应包括:服务水平承诺、服务级别、应急预案、技术支持力量等，并结合投标人对服务要求条款偏离情况进行打分。最好，得7分-10分(含):一般，得3分-7分(含):较差，得0分(含)-3分(含)。</w:t>
            </w:r>
          </w:p>
        </w:tc>
      </w:tr>
      <w:tr w14:paraId="2FFB2756">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C64">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w:t>
            </w:r>
          </w:p>
        </w:tc>
        <w:tc>
          <w:tcPr>
            <w:tcW w:w="1334" w:type="dxa"/>
            <w:tcBorders>
              <w:top w:val="single" w:color="000000" w:sz="4" w:space="0"/>
              <w:left w:val="single" w:color="000000" w:sz="4" w:space="0"/>
              <w:bottom w:val="single" w:color="000000" w:sz="4" w:space="0"/>
              <w:right w:val="single" w:color="000000" w:sz="4" w:space="0"/>
            </w:tcBorders>
            <w:vAlign w:val="center"/>
          </w:tcPr>
          <w:p w14:paraId="5C92495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综合能力</w:t>
            </w:r>
          </w:p>
        </w:tc>
        <w:tc>
          <w:tcPr>
            <w:tcW w:w="1053" w:type="dxa"/>
            <w:tcBorders>
              <w:top w:val="single" w:color="000000" w:sz="4" w:space="0"/>
              <w:left w:val="single" w:color="000000" w:sz="4" w:space="0"/>
              <w:bottom w:val="single" w:color="000000" w:sz="4" w:space="0"/>
              <w:right w:val="single" w:color="000000" w:sz="4" w:space="0"/>
            </w:tcBorders>
            <w:vAlign w:val="center"/>
          </w:tcPr>
          <w:p w14:paraId="3DDCF38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5545" w:type="dxa"/>
            <w:tcBorders>
              <w:top w:val="single" w:color="000000" w:sz="4" w:space="0"/>
              <w:left w:val="single" w:color="000000" w:sz="4" w:space="0"/>
              <w:bottom w:val="single" w:color="000000" w:sz="4" w:space="0"/>
              <w:right w:val="single" w:color="000000" w:sz="4" w:space="0"/>
            </w:tcBorders>
            <w:vAlign w:val="center"/>
          </w:tcPr>
          <w:p w14:paraId="2B709BE8">
            <w:pPr>
              <w:widowControl/>
              <w:textAlignment w:val="center"/>
              <w:rPr>
                <w:rFonts w:ascii="宋体" w:hAnsi="宋体" w:cs="宋体"/>
                <w:spacing w:val="8"/>
                <w:kern w:val="0"/>
                <w:sz w:val="24"/>
              </w:rPr>
            </w:pPr>
            <w:r>
              <w:rPr>
                <w:rFonts w:hint="eastAsia" w:ascii="宋体" w:hAnsi="宋体" w:cs="宋体"/>
                <w:spacing w:val="8"/>
                <w:kern w:val="0"/>
                <w:sz w:val="24"/>
              </w:rPr>
              <w:t>根据投标人的所获资质及荣誉、财务能力、投标产品情况等综合评定。</w:t>
            </w:r>
          </w:p>
          <w:p w14:paraId="36844D48">
            <w:pPr>
              <w:widowControl/>
              <w:textAlignment w:val="center"/>
              <w:rPr>
                <w:rFonts w:ascii="宋体" w:hAnsi="宋体" w:cs="宋体"/>
                <w:color w:val="000000"/>
                <w:kern w:val="0"/>
                <w:sz w:val="24"/>
                <w:lang w:bidi="ar"/>
              </w:rPr>
            </w:pPr>
            <w:r>
              <w:rPr>
                <w:rFonts w:hint="eastAsia" w:ascii="宋体" w:hAnsi="宋体" w:cs="宋体"/>
                <w:spacing w:val="8"/>
                <w:kern w:val="0"/>
                <w:sz w:val="24"/>
              </w:rPr>
              <w:t>最好，得4分-5分（含）；一般，得2分-3分（含）；较差，得0分（含）-1分（含）。</w:t>
            </w:r>
          </w:p>
        </w:tc>
      </w:tr>
      <w:tr w14:paraId="089D2B13">
        <w:tblPrEx>
          <w:tblCellMar>
            <w:top w:w="0" w:type="dxa"/>
            <w:left w:w="108" w:type="dxa"/>
            <w:bottom w:w="0" w:type="dxa"/>
            <w:right w:w="108" w:type="dxa"/>
          </w:tblCellMar>
        </w:tblPrEx>
        <w:trPr>
          <w:trHeight w:val="1071"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0A40193D">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vAlign w:val="center"/>
          </w:tcPr>
          <w:p w14:paraId="65816FA6">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产品业绩</w:t>
            </w:r>
          </w:p>
        </w:tc>
        <w:tc>
          <w:tcPr>
            <w:tcW w:w="1053" w:type="dxa"/>
            <w:tcBorders>
              <w:top w:val="single" w:color="000000" w:sz="4" w:space="0"/>
              <w:left w:val="single" w:color="000000" w:sz="4" w:space="0"/>
              <w:bottom w:val="single" w:color="000000" w:sz="4" w:space="0"/>
              <w:right w:val="single" w:color="000000" w:sz="4" w:space="0"/>
            </w:tcBorders>
            <w:vAlign w:val="center"/>
          </w:tcPr>
          <w:p w14:paraId="7446C24C">
            <w:pPr>
              <w:widowControl/>
              <w:jc w:val="center"/>
              <w:textAlignment w:val="center"/>
              <w:rPr>
                <w:rFonts w:ascii="宋体" w:hAnsi="宋体" w:cs="宋体"/>
                <w:color w:val="000000"/>
                <w:sz w:val="24"/>
              </w:rPr>
            </w:pPr>
            <w:r>
              <w:rPr>
                <w:rStyle w:val="41"/>
                <w:rFonts w:hint="default"/>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7207C3D8">
            <w:pPr>
              <w:widowControl/>
              <w:textAlignment w:val="center"/>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22年1月1日起承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1EB95697">
      <w:pPr>
        <w:pStyle w:val="20"/>
        <w:spacing w:line="288" w:lineRule="auto"/>
        <w:ind w:left="0" w:firstLine="0"/>
        <w:rPr>
          <w:rFonts w:cs="宋体"/>
          <w:shd w:val="clear" w:color="auto" w:fill="auto"/>
        </w:rPr>
      </w:pPr>
    </w:p>
    <w:p w14:paraId="304EA55B">
      <w:pPr>
        <w:numPr>
          <w:ilvl w:val="0"/>
          <w:numId w:val="2"/>
        </w:numPr>
        <w:snapToGrid w:val="0"/>
        <w:spacing w:line="360" w:lineRule="auto"/>
        <w:rPr>
          <w:rFonts w:ascii="宋体" w:hAnsi="宋体"/>
          <w:b/>
          <w:sz w:val="24"/>
        </w:rPr>
      </w:pPr>
      <w:r>
        <w:rPr>
          <w:rFonts w:hint="eastAsia" w:ascii="宋体" w:hAnsi="宋体"/>
          <w:b/>
          <w:sz w:val="24"/>
        </w:rPr>
        <w:t>授予合同</w:t>
      </w:r>
    </w:p>
    <w:p w14:paraId="442A3B89">
      <w:pPr>
        <w:snapToGrid w:val="0"/>
        <w:spacing w:line="360" w:lineRule="auto"/>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1合同授予的标准</w:t>
      </w:r>
    </w:p>
    <w:p w14:paraId="721D84EF">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35DF150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1AAAA30C">
      <w:pPr>
        <w:snapToGrid w:val="0"/>
        <w:spacing w:line="360" w:lineRule="auto"/>
        <w:rPr>
          <w:rFonts w:ascii="宋体" w:hAnsi="宋体"/>
          <w:b/>
          <w:sz w:val="24"/>
        </w:rPr>
      </w:pPr>
      <w:r>
        <w:rPr>
          <w:rFonts w:hint="eastAsia" w:ascii="宋体" w:hAnsi="宋体"/>
          <w:b/>
          <w:sz w:val="24"/>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67A34819">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014F94B9">
      <w:pPr>
        <w:snapToGrid w:val="0"/>
        <w:spacing w:line="360" w:lineRule="auto"/>
        <w:rPr>
          <w:rFonts w:ascii="宋体" w:hAnsi="宋体"/>
          <w:b/>
          <w:sz w:val="24"/>
        </w:rPr>
      </w:pPr>
      <w:r>
        <w:rPr>
          <w:rFonts w:hint="eastAsia" w:ascii="宋体" w:hAnsi="宋体"/>
          <w:b/>
          <w:sz w:val="24"/>
        </w:rPr>
        <w:t>11</w:t>
      </w:r>
      <w:r>
        <w:rPr>
          <w:rFonts w:ascii="宋体" w:hAnsi="宋体"/>
          <w:b/>
          <w:sz w:val="24"/>
        </w:rPr>
        <w:t>.3</w:t>
      </w:r>
      <w:r>
        <w:rPr>
          <w:rFonts w:hint="eastAsia" w:ascii="宋体" w:hAnsi="宋体"/>
          <w:b/>
          <w:sz w:val="24"/>
        </w:rPr>
        <w:t>合同要求</w:t>
      </w:r>
    </w:p>
    <w:p w14:paraId="01D4C45C">
      <w:pPr>
        <w:snapToGrid w:val="0"/>
        <w:spacing w:line="360" w:lineRule="auto"/>
        <w:ind w:left="425"/>
        <w:rPr>
          <w:rFonts w:ascii="宋体" w:hAnsi="宋体"/>
          <w:b/>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3DFD202E">
      <w:pPr>
        <w:snapToGrid w:val="0"/>
        <w:spacing w:line="360" w:lineRule="auto"/>
        <w:ind w:left="425"/>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08336B3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0C020E21">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444E33DC">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02B3BE70">
      <w:pPr>
        <w:widowControl/>
        <w:spacing w:line="360" w:lineRule="auto"/>
        <w:jc w:val="left"/>
        <w:rPr>
          <w:rFonts w:ascii="宋体" w:hAnsi="宋体"/>
          <w:b/>
          <w:sz w:val="24"/>
        </w:rPr>
      </w:pPr>
      <w:r>
        <w:rPr>
          <w:rFonts w:hint="eastAsia" w:ascii="宋体" w:hAnsi="宋体"/>
          <w:b/>
          <w:sz w:val="24"/>
        </w:rPr>
        <w:t>11</w:t>
      </w:r>
      <w:r>
        <w:rPr>
          <w:rFonts w:ascii="宋体" w:hAnsi="宋体"/>
          <w:b/>
          <w:sz w:val="24"/>
        </w:rPr>
        <w:t>.4</w:t>
      </w:r>
      <w:r>
        <w:rPr>
          <w:rFonts w:hint="eastAsia" w:ascii="宋体" w:hAnsi="宋体"/>
          <w:b/>
          <w:sz w:val="24"/>
        </w:rPr>
        <w:t xml:space="preserve">合同书的签署 </w:t>
      </w:r>
    </w:p>
    <w:p w14:paraId="3516225A">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74C14E11">
      <w:pPr>
        <w:pStyle w:val="8"/>
        <w:ind w:firstLine="0" w:firstLineChars="0"/>
        <w:jc w:val="left"/>
        <w:rPr>
          <w:b/>
          <w:sz w:val="24"/>
          <w:szCs w:val="24"/>
        </w:rPr>
      </w:pPr>
      <w:r>
        <w:rPr>
          <w:rFonts w:hint="eastAsia" w:ascii="宋体" w:hAnsi="宋体"/>
          <w:b/>
          <w:sz w:val="24"/>
          <w:szCs w:val="24"/>
        </w:rPr>
        <w:t>11</w:t>
      </w:r>
      <w:r>
        <w:rPr>
          <w:rFonts w:ascii="宋体" w:hAnsi="宋体"/>
          <w:b/>
          <w:sz w:val="24"/>
          <w:szCs w:val="24"/>
        </w:rPr>
        <w:t>.5</w:t>
      </w:r>
      <w:r>
        <w:rPr>
          <w:rFonts w:hint="eastAsia"/>
          <w:b/>
          <w:sz w:val="24"/>
          <w:szCs w:val="24"/>
        </w:rPr>
        <w:t>取消中选资格条件</w:t>
      </w:r>
    </w:p>
    <w:p w14:paraId="69AC3AE1">
      <w:pPr>
        <w:pStyle w:val="8"/>
        <w:ind w:firstLine="360"/>
        <w:jc w:val="left"/>
        <w:rPr>
          <w:sz w:val="24"/>
          <w:szCs w:val="24"/>
        </w:rPr>
      </w:pPr>
      <w:r>
        <w:rPr>
          <w:rFonts w:hint="eastAsia" w:ascii="宋体" w:hAnsi="宋体"/>
          <w:color w:val="000000"/>
          <w:sz w:val="24"/>
          <w:szCs w:val="24"/>
        </w:rPr>
        <w:t>11</w:t>
      </w:r>
      <w:r>
        <w:rPr>
          <w:rFonts w:ascii="宋体" w:hAnsi="宋体"/>
          <w:color w:val="000000"/>
          <w:sz w:val="24"/>
          <w:szCs w:val="24"/>
        </w:rPr>
        <w:t>.5.1</w:t>
      </w:r>
      <w:r>
        <w:rPr>
          <w:rFonts w:hint="eastAsia"/>
          <w:sz w:val="24"/>
          <w:szCs w:val="24"/>
        </w:rPr>
        <w:t>参选人如发生以下情况之一的将被取消中选资格：</w:t>
      </w:r>
    </w:p>
    <w:p w14:paraId="0D677FB6">
      <w:pPr>
        <w:pStyle w:val="8"/>
        <w:ind w:firstLine="360"/>
        <w:jc w:val="left"/>
        <w:rPr>
          <w:sz w:val="24"/>
          <w:szCs w:val="24"/>
        </w:rPr>
      </w:pPr>
      <w:r>
        <w:rPr>
          <w:rFonts w:hint="eastAsia"/>
          <w:sz w:val="24"/>
          <w:szCs w:val="24"/>
        </w:rPr>
        <w:t>（1）中选人在与发布人签订合同时另行加入不合理或未经发布人书面同意的条件；</w:t>
      </w:r>
    </w:p>
    <w:p w14:paraId="29767866">
      <w:pPr>
        <w:pStyle w:val="8"/>
        <w:ind w:firstLine="360"/>
        <w:jc w:val="left"/>
        <w:rPr>
          <w:sz w:val="24"/>
          <w:szCs w:val="24"/>
        </w:rPr>
      </w:pPr>
      <w:r>
        <w:rPr>
          <w:rFonts w:hint="eastAsia"/>
          <w:sz w:val="24"/>
          <w:szCs w:val="24"/>
        </w:rPr>
        <w:t>（2）中选人不履行参选文件所作的承诺；</w:t>
      </w:r>
    </w:p>
    <w:p w14:paraId="1CA4310E">
      <w:pPr>
        <w:pStyle w:val="8"/>
        <w:ind w:firstLine="360"/>
        <w:jc w:val="left"/>
        <w:rPr>
          <w:sz w:val="24"/>
          <w:szCs w:val="24"/>
        </w:rPr>
      </w:pPr>
      <w:r>
        <w:rPr>
          <w:rFonts w:hint="eastAsia"/>
          <w:sz w:val="24"/>
          <w:szCs w:val="24"/>
        </w:rPr>
        <w:t>（3）中选人有违法行为；</w:t>
      </w:r>
    </w:p>
    <w:p w14:paraId="23BF1A67">
      <w:pPr>
        <w:pStyle w:val="8"/>
        <w:ind w:firstLine="360"/>
        <w:jc w:val="left"/>
        <w:rPr>
          <w:sz w:val="24"/>
          <w:szCs w:val="24"/>
        </w:rPr>
      </w:pPr>
      <w:r>
        <w:rPr>
          <w:rFonts w:hint="eastAsia" w:ascii="宋体" w:hAnsi="宋体"/>
          <w:color w:val="000000"/>
          <w:sz w:val="24"/>
          <w:szCs w:val="24"/>
        </w:rPr>
        <w:t>11</w:t>
      </w:r>
      <w:r>
        <w:rPr>
          <w:rFonts w:ascii="宋体" w:hAnsi="宋体"/>
          <w:color w:val="000000"/>
          <w:sz w:val="24"/>
          <w:szCs w:val="24"/>
        </w:rPr>
        <w:t>.5.2</w:t>
      </w:r>
      <w:r>
        <w:rPr>
          <w:rFonts w:hint="eastAsia"/>
          <w:sz w:val="24"/>
          <w:szCs w:val="24"/>
        </w:rPr>
        <w:t>若发生中选人被取消中选资格的，则由发布人依照评委会推荐的中选候选人依序递补确定中选人。</w:t>
      </w:r>
    </w:p>
    <w:p w14:paraId="5D61F50F">
      <w:pPr>
        <w:rPr>
          <w:rFonts w:ascii="华文仿宋" w:hAnsi="华文仿宋" w:cs="华文仿宋"/>
        </w:rPr>
      </w:pPr>
    </w:p>
    <w:p w14:paraId="06387FC2">
      <w:pPr>
        <w:rPr>
          <w:rFonts w:ascii="华文仿宋" w:hAnsi="华文仿宋" w:cs="华文仿宋"/>
        </w:rPr>
      </w:pPr>
    </w:p>
    <w:p w14:paraId="3E25CA4D">
      <w:pPr>
        <w:pStyle w:val="2"/>
        <w:rPr>
          <w:rFonts w:ascii="华文仿宋" w:hAnsi="华文仿宋" w:cs="华文仿宋"/>
        </w:rPr>
      </w:pPr>
    </w:p>
    <w:p w14:paraId="065741EC">
      <w:pPr>
        <w:pStyle w:val="2"/>
        <w:rPr>
          <w:rFonts w:ascii="华文仿宋" w:hAnsi="华文仿宋" w:cs="华文仿宋"/>
        </w:rPr>
      </w:pPr>
    </w:p>
    <w:p w14:paraId="5048D999">
      <w:pPr>
        <w:pStyle w:val="2"/>
        <w:rPr>
          <w:rFonts w:ascii="华文仿宋" w:hAnsi="华文仿宋" w:cs="华文仿宋"/>
        </w:rPr>
      </w:pPr>
    </w:p>
    <w:p w14:paraId="641B5B32">
      <w:pPr>
        <w:pStyle w:val="2"/>
        <w:rPr>
          <w:rFonts w:ascii="华文仿宋" w:hAnsi="华文仿宋" w:cs="华文仿宋"/>
        </w:rPr>
      </w:pPr>
    </w:p>
    <w:p w14:paraId="7EE079ED">
      <w:pPr>
        <w:pStyle w:val="2"/>
        <w:rPr>
          <w:rFonts w:ascii="华文仿宋" w:hAnsi="华文仿宋" w:cs="华文仿宋"/>
        </w:rPr>
      </w:pPr>
    </w:p>
    <w:p w14:paraId="660A429F">
      <w:pPr>
        <w:pStyle w:val="2"/>
        <w:rPr>
          <w:rFonts w:ascii="华文仿宋" w:hAnsi="华文仿宋" w:cs="华文仿宋"/>
        </w:rPr>
      </w:pPr>
    </w:p>
    <w:p w14:paraId="0D7EFCED">
      <w:pPr>
        <w:pStyle w:val="2"/>
        <w:rPr>
          <w:rFonts w:ascii="华文仿宋" w:hAnsi="华文仿宋" w:cs="华文仿宋"/>
        </w:rPr>
      </w:pPr>
    </w:p>
    <w:p w14:paraId="3BB1C49E">
      <w:pPr>
        <w:rPr>
          <w:rFonts w:ascii="华文仿宋" w:hAnsi="华文仿宋" w:cs="华文仿宋"/>
        </w:rPr>
      </w:pPr>
    </w:p>
    <w:p w14:paraId="3A4FD146">
      <w:pPr>
        <w:rPr>
          <w:rFonts w:ascii="华文仿宋" w:hAnsi="华文仿宋" w:cs="华文仿宋"/>
        </w:rPr>
      </w:pPr>
      <w:r>
        <w:rPr>
          <w:rFonts w:hint="eastAsia" w:ascii="华文仿宋" w:hAnsi="华文仿宋" w:cs="华文仿宋"/>
        </w:rPr>
        <w:br w:type="page"/>
      </w:r>
    </w:p>
    <w:p w14:paraId="564A1AC4">
      <w:pPr>
        <w:pStyle w:val="30"/>
        <w:numPr>
          <w:ilvl w:val="0"/>
          <w:numId w:val="7"/>
        </w:numPr>
        <w:rPr>
          <w:rFonts w:ascii="华文仿宋" w:hAnsi="华文仿宋" w:cs="华文仿宋"/>
        </w:rPr>
      </w:pPr>
      <w:r>
        <w:rPr>
          <w:rFonts w:hint="eastAsia" w:ascii="华文仿宋" w:hAnsi="华文仿宋" w:cs="华文仿宋"/>
        </w:rPr>
        <w:t>遴选内容及要求</w:t>
      </w:r>
    </w:p>
    <w:p w14:paraId="77415D57">
      <w:pPr>
        <w:numPr>
          <w:ilvl w:val="0"/>
          <w:numId w:val="8"/>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：上海市儿童医院两院区重要会议保障项目</w:t>
      </w:r>
    </w:p>
    <w:p w14:paraId="787727BC">
      <w:pPr>
        <w:numPr>
          <w:ilvl w:val="0"/>
          <w:numId w:val="8"/>
        </w:numPr>
        <w:spacing w:line="360" w:lineRule="auto"/>
        <w:rPr>
          <w:rFonts w:ascii="宋体" w:hAnsi="宋体" w:cs="宋体"/>
          <w:b/>
          <w:sz w:val="24"/>
        </w:rPr>
      </w:pPr>
      <w:r>
        <w:rPr>
          <w:rFonts w:hint="eastAsia" w:ascii="宋体" w:hAnsi="宋体" w:cs="宋体"/>
          <w:b/>
          <w:sz w:val="24"/>
        </w:rPr>
        <w:t>服务期限：</w:t>
      </w:r>
      <w:r>
        <w:rPr>
          <w:rFonts w:hint="eastAsia" w:ascii="宋体" w:hAnsi="宋体" w:cs="宋体"/>
          <w:sz w:val="24"/>
        </w:rPr>
        <w:t>合同签订后3年，合同一年一签，评估合格后续签下一年合同。</w:t>
      </w:r>
    </w:p>
    <w:p w14:paraId="7F02A6AB">
      <w:pPr>
        <w:numPr>
          <w:ilvl w:val="0"/>
          <w:numId w:val="8"/>
        </w:numPr>
        <w:spacing w:line="360" w:lineRule="auto"/>
        <w:rPr>
          <w:rFonts w:ascii="宋体" w:hAnsi="宋体" w:cs="宋体"/>
          <w:b/>
          <w:bCs/>
          <w:kern w:val="0"/>
          <w:sz w:val="24"/>
          <w:shd w:val="clear" w:color="auto" w:fill="FFFFFF"/>
        </w:rPr>
      </w:pPr>
      <w:r>
        <w:rPr>
          <w:rFonts w:hint="eastAsia" w:ascii="宋体" w:hAnsi="宋体" w:cs="宋体"/>
          <w:b/>
          <w:sz w:val="24"/>
        </w:rPr>
        <w:t>实施地点</w:t>
      </w:r>
      <w:r>
        <w:rPr>
          <w:rFonts w:hint="eastAsia" w:ascii="宋体" w:hAnsi="宋体" w:cs="宋体"/>
          <w:sz w:val="24"/>
        </w:rPr>
        <w:t>：上海市儿童医院</w:t>
      </w:r>
    </w:p>
    <w:p w14:paraId="5AF4AF1E">
      <w:pPr>
        <w:numPr>
          <w:ilvl w:val="0"/>
          <w:numId w:val="8"/>
        </w:numPr>
        <w:spacing w:line="360" w:lineRule="auto"/>
        <w:rPr>
          <w:rFonts w:ascii="宋体" w:hAnsi="宋体" w:cs="Arial"/>
          <w:sz w:val="24"/>
        </w:rPr>
      </w:pPr>
      <w:r>
        <w:rPr>
          <w:rFonts w:hint="eastAsia" w:ascii="宋体" w:hAnsi="宋体" w:cs="宋体"/>
          <w:b/>
          <w:bCs/>
          <w:kern w:val="0"/>
          <w:sz w:val="24"/>
          <w:shd w:val="clear" w:color="auto" w:fill="FFFFFF"/>
        </w:rPr>
        <w:t>付款方式：</w:t>
      </w:r>
      <w:r>
        <w:rPr>
          <w:rFonts w:hint="eastAsia" w:ascii="宋体" w:hAnsi="宋体" w:cs="Arial"/>
          <w:sz w:val="24"/>
        </w:rPr>
        <w:t>费用按次按实结算</w:t>
      </w:r>
      <w:r>
        <w:rPr>
          <w:rFonts w:hint="eastAsia" w:ascii="宋体" w:hAnsi="宋体" w:cs="Arial"/>
          <w:sz w:val="24"/>
          <w:lang w:eastAsia="zh-CN"/>
        </w:rPr>
        <w:t>。</w:t>
      </w:r>
      <w:r>
        <w:rPr>
          <w:rFonts w:hint="eastAsia" w:ascii="宋体" w:hAnsi="宋体" w:cs="Arial"/>
          <w:sz w:val="24"/>
          <w:lang w:val="en-US" w:eastAsia="zh-CN"/>
        </w:rPr>
        <w:t>甲方验收合格后</w:t>
      </w:r>
      <w:r>
        <w:rPr>
          <w:rFonts w:hint="eastAsia" w:ascii="宋体" w:hAnsi="宋体" w:cs="Arial"/>
          <w:sz w:val="24"/>
        </w:rPr>
        <w:t>且收到乙方开具的发票后30</w:t>
      </w:r>
      <w:r>
        <w:rPr>
          <w:rFonts w:hint="eastAsia" w:ascii="宋体" w:hAnsi="宋体" w:cs="Arial"/>
          <w:sz w:val="24"/>
          <w:lang w:val="en-US" w:eastAsia="zh-CN"/>
        </w:rPr>
        <w:t>个工作日</w:t>
      </w:r>
      <w:r>
        <w:rPr>
          <w:rFonts w:hint="eastAsia" w:ascii="宋体" w:hAnsi="宋体" w:cs="Arial"/>
          <w:sz w:val="24"/>
        </w:rPr>
        <w:t>内一次性支付。</w:t>
      </w:r>
    </w:p>
    <w:p w14:paraId="23103B6F">
      <w:pPr>
        <w:numPr>
          <w:ilvl w:val="0"/>
          <w:numId w:val="8"/>
        </w:numPr>
        <w:spacing w:line="360" w:lineRule="auto"/>
        <w:rPr>
          <w:rFonts w:ascii="宋体" w:hAnsi="宋体" w:cs="宋体"/>
          <w:b/>
          <w:bCs/>
          <w:kern w:val="0"/>
          <w:sz w:val="24"/>
          <w:shd w:val="clear" w:color="auto" w:fill="FFFFFF"/>
        </w:rPr>
      </w:pPr>
      <w:r>
        <w:rPr>
          <w:rFonts w:hint="eastAsia" w:ascii="宋体" w:hAnsi="宋体" w:cs="宋体"/>
          <w:b/>
          <w:bCs/>
          <w:kern w:val="0"/>
          <w:sz w:val="24"/>
          <w:shd w:val="clear" w:color="auto" w:fill="FFFFFF"/>
        </w:rPr>
        <w:t>服务内容</w:t>
      </w:r>
    </w:p>
    <w:p w14:paraId="596038DE">
      <w:pPr>
        <w:numPr>
          <w:ilvl w:val="0"/>
          <w:numId w:val="9"/>
        </w:numPr>
        <w:spacing w:line="360" w:lineRule="auto"/>
        <w:rPr>
          <w:rFonts w:ascii="宋体" w:hAnsi="宋体" w:cs="Arial"/>
          <w:sz w:val="24"/>
        </w:rPr>
      </w:pPr>
      <w:r>
        <w:rPr>
          <w:rFonts w:hint="eastAsia" w:ascii="宋体" w:hAnsi="宋体" w:cs="Arial"/>
          <w:sz w:val="24"/>
        </w:rPr>
        <w:t>会议现场技术支持与保障</w:t>
      </w:r>
    </w:p>
    <w:p w14:paraId="3A4C92B2">
      <w:pPr>
        <w:numPr>
          <w:ilvl w:val="1"/>
          <w:numId w:val="9"/>
        </w:numPr>
        <w:spacing w:line="360" w:lineRule="auto"/>
        <w:rPr>
          <w:rFonts w:ascii="宋体" w:hAnsi="宋体" w:cs="Arial"/>
          <w:sz w:val="24"/>
        </w:rPr>
      </w:pPr>
      <w:r>
        <w:rPr>
          <w:rFonts w:hint="eastAsia" w:ascii="宋体" w:hAnsi="宋体" w:cs="Arial"/>
          <w:sz w:val="24"/>
        </w:rPr>
        <w:t>重要会议当天安排专业技术人员驻场，提前调试会议设备，及时解决会议过程中出现的各种技术问题，提供全程技术保障，确保设备正常运行。</w:t>
      </w:r>
    </w:p>
    <w:p w14:paraId="0DE88C56">
      <w:pPr>
        <w:numPr>
          <w:ilvl w:val="1"/>
          <w:numId w:val="9"/>
        </w:numPr>
        <w:spacing w:line="360" w:lineRule="auto"/>
        <w:rPr>
          <w:rFonts w:ascii="宋体" w:hAnsi="宋体" w:cs="Arial"/>
          <w:sz w:val="24"/>
        </w:rPr>
      </w:pPr>
      <w:r>
        <w:rPr>
          <w:rFonts w:hint="eastAsia" w:ascii="宋体" w:hAnsi="宋体" w:cs="Arial"/>
          <w:sz w:val="24"/>
        </w:rPr>
        <w:t>确保两院区实时音视频互动，画面清晰流畅，音质清晰无杂音；确保会场声音均匀覆盖，音量适中，无啸叫、杂音等问题；确保高清画面展示，画面清晰明亮，色彩还原度高。</w:t>
      </w:r>
    </w:p>
    <w:p w14:paraId="45358926">
      <w:pPr>
        <w:numPr>
          <w:ilvl w:val="1"/>
          <w:numId w:val="9"/>
        </w:numPr>
        <w:spacing w:line="360" w:lineRule="auto"/>
        <w:rPr>
          <w:rFonts w:ascii="宋体" w:hAnsi="宋体" w:cs="Arial"/>
          <w:sz w:val="24"/>
        </w:rPr>
      </w:pPr>
      <w:r>
        <w:rPr>
          <w:rFonts w:hint="eastAsia" w:ascii="宋体" w:hAnsi="宋体" w:cs="Arial"/>
          <w:sz w:val="24"/>
        </w:rPr>
        <w:t>配合第三方设备接入：通常涉及与第三方进行技术沟通(例如了解设备的技术规格和接口要求)、配合制定接入方案、以及配合接入测试。</w:t>
      </w:r>
    </w:p>
    <w:p w14:paraId="1ECDAAEA">
      <w:pPr>
        <w:numPr>
          <w:ilvl w:val="0"/>
          <w:numId w:val="9"/>
        </w:numPr>
        <w:spacing w:line="360" w:lineRule="auto"/>
        <w:rPr>
          <w:rFonts w:ascii="宋体" w:hAnsi="宋体" w:cs="Arial"/>
          <w:sz w:val="24"/>
        </w:rPr>
      </w:pPr>
      <w:r>
        <w:rPr>
          <w:rFonts w:hint="eastAsia" w:ascii="宋体" w:hAnsi="宋体" w:cs="Arial"/>
          <w:sz w:val="24"/>
        </w:rPr>
        <w:t>设备巡检</w:t>
      </w:r>
    </w:p>
    <w:p w14:paraId="5AFF5C79">
      <w:pPr>
        <w:numPr>
          <w:ilvl w:val="1"/>
          <w:numId w:val="9"/>
        </w:numPr>
        <w:spacing w:line="360" w:lineRule="auto"/>
        <w:rPr>
          <w:rFonts w:ascii="宋体" w:hAnsi="宋体" w:cs="Arial"/>
          <w:sz w:val="24"/>
        </w:rPr>
      </w:pPr>
      <w:r>
        <w:rPr>
          <w:rFonts w:hint="eastAsia" w:ascii="宋体" w:hAnsi="宋体" w:cs="Arial"/>
          <w:sz w:val="24"/>
        </w:rPr>
        <w:t>每月一次对会议系统设备进行全面检查，包括线路稳定性、设备运行状态（如摄像头、麦克风、中控系统等），确保现场声音、视频、控制三方面正常。</w:t>
      </w:r>
    </w:p>
    <w:p w14:paraId="674E5697">
      <w:pPr>
        <w:numPr>
          <w:ilvl w:val="0"/>
          <w:numId w:val="9"/>
        </w:numPr>
        <w:spacing w:line="360" w:lineRule="auto"/>
        <w:rPr>
          <w:rFonts w:hint="eastAsia" w:ascii="宋体" w:hAnsi="宋体" w:cs="Arial"/>
          <w:sz w:val="24"/>
          <w:lang w:val="en-US" w:eastAsia="zh-CN"/>
        </w:rPr>
      </w:pPr>
      <w:r>
        <w:rPr>
          <w:rFonts w:hint="eastAsia" w:ascii="宋体" w:hAnsi="宋体" w:cs="Arial"/>
          <w:sz w:val="24"/>
          <w:lang w:val="en-US" w:eastAsia="zh-CN"/>
        </w:rPr>
        <w:t>响应支持要求：每周</w:t>
      </w:r>
      <w:r>
        <w:rPr>
          <w:rFonts w:hint="eastAsia" w:ascii="宋体" w:hAnsi="宋体"/>
          <w:sz w:val="24"/>
        </w:rPr>
        <w:t>7天*24小时</w:t>
      </w:r>
      <w:r>
        <w:rPr>
          <w:rFonts w:hint="eastAsia" w:ascii="宋体" w:hAnsi="宋体"/>
          <w:sz w:val="24"/>
          <w:lang w:val="en-US" w:eastAsia="zh-CN"/>
        </w:rPr>
        <w:t>响应支持</w:t>
      </w:r>
      <w:r>
        <w:rPr>
          <w:rFonts w:hint="eastAsia" w:ascii="宋体" w:hAnsi="宋体"/>
          <w:sz w:val="24"/>
          <w:lang w:eastAsia="zh-CN"/>
        </w:rPr>
        <w:t>。</w:t>
      </w:r>
    </w:p>
    <w:p w14:paraId="4F000E30">
      <w:pPr>
        <w:numPr>
          <w:ilvl w:val="0"/>
          <w:numId w:val="9"/>
        </w:numPr>
        <w:spacing w:line="360" w:lineRule="auto"/>
        <w:rPr>
          <w:rFonts w:hint="eastAsia" w:ascii="宋体" w:hAnsi="宋体" w:cs="Arial"/>
          <w:sz w:val="24"/>
          <w:lang w:val="en-US" w:eastAsia="zh-CN"/>
        </w:rPr>
      </w:pPr>
      <w:r>
        <w:rPr>
          <w:rFonts w:hint="eastAsia" w:ascii="宋体" w:hAnsi="宋体"/>
          <w:sz w:val="24"/>
          <w:lang w:val="en-US" w:eastAsia="zh-CN"/>
        </w:rPr>
        <w:t>技术服务支持：</w:t>
      </w:r>
      <w:r>
        <w:rPr>
          <w:rFonts w:hint="eastAsia" w:ascii="宋体" w:hAnsi="宋体" w:cs="Arial"/>
          <w:sz w:val="24"/>
          <w:lang w:val="en-US" w:eastAsia="zh-CN"/>
        </w:rPr>
        <w:t>每周</w:t>
      </w:r>
      <w:r>
        <w:rPr>
          <w:rFonts w:hint="eastAsia" w:ascii="宋体" w:hAnsi="宋体"/>
          <w:sz w:val="24"/>
        </w:rPr>
        <w:t>7天*24小时</w:t>
      </w:r>
      <w:r>
        <w:rPr>
          <w:rFonts w:hint="eastAsia" w:ascii="宋体" w:hAnsi="宋体"/>
          <w:sz w:val="24"/>
          <w:lang w:val="en-US" w:eastAsia="zh-CN"/>
        </w:rPr>
        <w:t>技术支持服务。</w:t>
      </w:r>
    </w:p>
    <w:p w14:paraId="6C7BD6FA">
      <w:pPr>
        <w:pStyle w:val="2"/>
        <w:rPr>
          <w:rFonts w:hint="eastAsia"/>
          <w:lang w:val="en-US" w:eastAsia="zh-CN"/>
        </w:rPr>
      </w:pPr>
    </w:p>
    <w:p w14:paraId="1061A536">
      <w:pPr>
        <w:pStyle w:val="2"/>
        <w:rPr>
          <w:rFonts w:hint="eastAsia"/>
          <w:lang w:val="en-US" w:eastAsia="zh-CN"/>
        </w:rPr>
      </w:pPr>
    </w:p>
    <w:p w14:paraId="7CDE7384">
      <w:pPr>
        <w:rPr>
          <w:rFonts w:ascii="华文仿宋" w:hAnsi="华文仿宋" w:cs="华文仿宋"/>
        </w:rPr>
      </w:pPr>
      <w:r>
        <w:rPr>
          <w:rFonts w:hint="eastAsia" w:ascii="华文仿宋" w:hAnsi="华文仿宋" w:cs="华文仿宋"/>
        </w:rPr>
        <w:br w:type="page"/>
      </w:r>
    </w:p>
    <w:p w14:paraId="28FD99CA">
      <w:pPr>
        <w:pStyle w:val="30"/>
        <w:numPr>
          <w:ilvl w:val="0"/>
          <w:numId w:val="10"/>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1"/>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1"/>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1"/>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1"/>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1"/>
        </w:numPr>
        <w:spacing w:line="360" w:lineRule="auto"/>
        <w:rPr>
          <w:rFonts w:ascii="宋体" w:hAnsi="宋体"/>
          <w:sz w:val="28"/>
          <w:szCs w:val="28"/>
        </w:rPr>
      </w:pPr>
      <w:r>
        <w:rPr>
          <w:rFonts w:hint="eastAsia" w:ascii="宋体" w:hAnsi="宋体"/>
          <w:color w:val="000000"/>
          <w:sz w:val="28"/>
          <w:szCs w:val="28"/>
        </w:rPr>
        <w:t>技术规格偏离表</w:t>
      </w:r>
    </w:p>
    <w:p w14:paraId="5E7B1DDB">
      <w:pPr>
        <w:numPr>
          <w:ilvl w:val="1"/>
          <w:numId w:val="11"/>
        </w:numPr>
        <w:spacing w:line="360" w:lineRule="auto"/>
        <w:rPr>
          <w:rFonts w:ascii="宋体" w:hAnsi="宋体"/>
          <w:sz w:val="28"/>
          <w:szCs w:val="28"/>
        </w:rPr>
      </w:pPr>
      <w:r>
        <w:rPr>
          <w:rFonts w:hint="eastAsia" w:ascii="宋体" w:hAnsi="宋体"/>
          <w:sz w:val="28"/>
          <w:szCs w:val="28"/>
        </w:rPr>
        <w:t>服务方案</w:t>
      </w:r>
    </w:p>
    <w:p w14:paraId="2F007E07">
      <w:pPr>
        <w:numPr>
          <w:ilvl w:val="1"/>
          <w:numId w:val="11"/>
        </w:numPr>
        <w:spacing w:line="360" w:lineRule="auto"/>
        <w:rPr>
          <w:rFonts w:ascii="宋体" w:hAnsi="宋体"/>
          <w:sz w:val="28"/>
          <w:szCs w:val="28"/>
        </w:rPr>
      </w:pPr>
      <w:r>
        <w:rPr>
          <w:rFonts w:hint="eastAsia" w:ascii="宋体" w:hAnsi="宋体"/>
          <w:sz w:val="28"/>
          <w:szCs w:val="28"/>
        </w:rPr>
        <w:t>售后服务承诺书</w:t>
      </w:r>
    </w:p>
    <w:p w14:paraId="23E60EB6">
      <w:pPr>
        <w:numPr>
          <w:ilvl w:val="1"/>
          <w:numId w:val="11"/>
        </w:numPr>
        <w:spacing w:line="360" w:lineRule="auto"/>
        <w:rPr>
          <w:rFonts w:ascii="宋体" w:hAnsi="宋体"/>
          <w:sz w:val="28"/>
          <w:szCs w:val="28"/>
        </w:rPr>
      </w:pPr>
      <w:r>
        <w:rPr>
          <w:rFonts w:hint="eastAsia" w:ascii="宋体" w:hAnsi="宋体"/>
          <w:sz w:val="28"/>
          <w:szCs w:val="28"/>
        </w:rPr>
        <w:t>用户名单</w:t>
      </w:r>
    </w:p>
    <w:p w14:paraId="5BAB0C55">
      <w:pPr>
        <w:numPr>
          <w:ilvl w:val="1"/>
          <w:numId w:val="11"/>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30"/>
        <w:jc w:val="both"/>
        <w:rPr>
          <w:rFonts w:ascii="华文仿宋" w:hAnsi="华文仿宋" w:cs="华文仿宋"/>
        </w:rPr>
      </w:pPr>
    </w:p>
    <w:p w14:paraId="3ECFA5CD">
      <w:pPr>
        <w:pStyle w:val="16"/>
        <w:rPr>
          <w:rFonts w:ascii="华文仿宋" w:hAnsi="华文仿宋" w:eastAsia="华文仿宋"/>
          <w:sz w:val="60"/>
          <w:szCs w:val="60"/>
        </w:rPr>
      </w:pPr>
    </w:p>
    <w:p w14:paraId="7A9DA9F0">
      <w:pPr>
        <w:pStyle w:val="16"/>
        <w:rPr>
          <w:rFonts w:ascii="华文仿宋" w:hAnsi="华文仿宋" w:eastAsia="华文仿宋"/>
          <w:sz w:val="60"/>
          <w:szCs w:val="60"/>
        </w:rPr>
      </w:pPr>
    </w:p>
    <w:p w14:paraId="226575BD">
      <w:pPr>
        <w:pStyle w:val="16"/>
        <w:rPr>
          <w:rFonts w:ascii="华文仿宋" w:hAnsi="华文仿宋" w:eastAsia="华文仿宋"/>
          <w:sz w:val="60"/>
          <w:szCs w:val="60"/>
        </w:rPr>
      </w:pPr>
    </w:p>
    <w:p w14:paraId="453371D2">
      <w:pPr>
        <w:pStyle w:val="16"/>
        <w:rPr>
          <w:rFonts w:ascii="华文仿宋" w:hAnsi="华文仿宋" w:eastAsia="华文仿宋"/>
          <w:sz w:val="60"/>
          <w:szCs w:val="60"/>
        </w:rPr>
      </w:pPr>
    </w:p>
    <w:p w14:paraId="365B5F18">
      <w:pPr>
        <w:pStyle w:val="16"/>
        <w:rPr>
          <w:rFonts w:ascii="华文仿宋" w:hAnsi="华文仿宋" w:eastAsia="华文仿宋"/>
          <w:sz w:val="60"/>
          <w:szCs w:val="60"/>
        </w:rPr>
      </w:pPr>
    </w:p>
    <w:p w14:paraId="05A19F25">
      <w:pPr>
        <w:pStyle w:val="16"/>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2"/>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2BDC1864">
      <w:pPr>
        <w:pStyle w:val="2"/>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8"/>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2"/>
        <w:ind w:firstLine="420"/>
        <w:rPr>
          <w:rFonts w:ascii="宋体" w:hAnsi="宋体" w:cs="宋体"/>
          <w:spacing w:val="8"/>
          <w:sz w:val="24"/>
        </w:rPr>
      </w:pPr>
    </w:p>
    <w:p w14:paraId="270C9C71">
      <w:pPr>
        <w:pStyle w:val="2"/>
        <w:ind w:firstLine="420"/>
        <w:rPr>
          <w:rFonts w:ascii="宋体" w:hAnsi="宋体" w:cs="宋体"/>
          <w:spacing w:val="8"/>
          <w:sz w:val="24"/>
        </w:rPr>
      </w:pPr>
      <w:r>
        <w:rPr>
          <w:rFonts w:hint="eastAsia" w:ascii="宋体" w:hAnsi="宋体" w:cs="宋体"/>
          <w:spacing w:val="8"/>
          <w:sz w:val="24"/>
        </w:rPr>
        <w:t>报价明细：</w:t>
      </w: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0"/>
              <w:ind w:left="0" w:firstLine="0"/>
              <w:jc w:val="center"/>
              <w:rPr>
                <w:rFonts w:cs="宋体"/>
                <w:shd w:val="clear" w:color="auto" w:fill="auto"/>
              </w:rPr>
            </w:pPr>
            <w:r>
              <w:rPr>
                <w:rFonts w:hint="eastAsia" w:cs="宋体"/>
                <w:shd w:val="clear" w:color="auto" w:fill="auto"/>
              </w:rPr>
              <w:t>序号</w:t>
            </w:r>
          </w:p>
        </w:tc>
        <w:tc>
          <w:tcPr>
            <w:tcW w:w="2579" w:type="dxa"/>
            <w:vAlign w:val="center"/>
          </w:tcPr>
          <w:p w14:paraId="10E63FEA">
            <w:pPr>
              <w:pStyle w:val="20"/>
              <w:ind w:left="0" w:firstLine="0"/>
              <w:jc w:val="center"/>
              <w:rPr>
                <w:rFonts w:cs="宋体"/>
                <w:shd w:val="clear" w:color="auto" w:fill="auto"/>
              </w:rPr>
            </w:pPr>
            <w:r>
              <w:rPr>
                <w:rFonts w:hint="eastAsia" w:cs="宋体"/>
                <w:shd w:val="clear" w:color="auto" w:fill="auto"/>
              </w:rPr>
              <w:t>服务内容</w:t>
            </w:r>
          </w:p>
        </w:tc>
        <w:tc>
          <w:tcPr>
            <w:tcW w:w="1951" w:type="dxa"/>
            <w:vAlign w:val="center"/>
          </w:tcPr>
          <w:p w14:paraId="615A7982">
            <w:pPr>
              <w:pStyle w:val="20"/>
              <w:ind w:left="0" w:firstLine="0"/>
              <w:jc w:val="center"/>
              <w:rPr>
                <w:rFonts w:cs="宋体"/>
                <w:shd w:val="clear" w:color="auto" w:fill="auto"/>
              </w:rPr>
            </w:pPr>
            <w:r>
              <w:rPr>
                <w:rFonts w:hint="eastAsia" w:cs="宋体"/>
                <w:shd w:val="clear" w:color="auto" w:fill="auto"/>
              </w:rPr>
              <w:t>服务期限</w:t>
            </w:r>
          </w:p>
        </w:tc>
        <w:tc>
          <w:tcPr>
            <w:tcW w:w="1764" w:type="dxa"/>
            <w:vAlign w:val="center"/>
          </w:tcPr>
          <w:p w14:paraId="297C250E">
            <w:pPr>
              <w:pStyle w:val="20"/>
              <w:ind w:left="0" w:firstLine="0"/>
              <w:jc w:val="center"/>
              <w:rPr>
                <w:rFonts w:cs="宋体"/>
                <w:shd w:val="clear" w:color="auto" w:fill="auto"/>
              </w:rPr>
            </w:pPr>
            <w:r>
              <w:rPr>
                <w:rFonts w:hint="eastAsia" w:cs="宋体"/>
                <w:shd w:val="clear" w:color="auto" w:fill="auto"/>
              </w:rPr>
              <w:t>报价货币</w:t>
            </w:r>
          </w:p>
        </w:tc>
        <w:tc>
          <w:tcPr>
            <w:tcW w:w="1620" w:type="dxa"/>
            <w:vAlign w:val="center"/>
          </w:tcPr>
          <w:p w14:paraId="062063AB">
            <w:pPr>
              <w:pStyle w:val="20"/>
              <w:ind w:left="0" w:firstLine="0"/>
              <w:jc w:val="center"/>
              <w:rPr>
                <w:rFonts w:cs="宋体"/>
                <w:shd w:val="clear" w:color="auto" w:fill="auto"/>
              </w:rPr>
            </w:pPr>
            <w:r>
              <w:rPr>
                <w:rFonts w:hint="eastAsia" w:cs="宋体"/>
                <w:shd w:val="clear" w:color="auto" w:fill="auto"/>
              </w:rPr>
              <w:t>报价金额</w:t>
            </w:r>
          </w:p>
        </w:tc>
        <w:tc>
          <w:tcPr>
            <w:tcW w:w="948" w:type="dxa"/>
            <w:vAlign w:val="center"/>
          </w:tcPr>
          <w:p w14:paraId="3B1E31DE">
            <w:pPr>
              <w:pStyle w:val="20"/>
              <w:ind w:left="0" w:firstLine="0"/>
              <w:jc w:val="center"/>
              <w:rPr>
                <w:rFonts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0"/>
              <w:ind w:left="0" w:firstLine="0"/>
              <w:jc w:val="center"/>
              <w:rPr>
                <w:rFonts w:cs="宋体"/>
                <w:shd w:val="clear" w:color="auto" w:fill="auto"/>
              </w:rPr>
            </w:pPr>
          </w:p>
        </w:tc>
        <w:tc>
          <w:tcPr>
            <w:tcW w:w="2579" w:type="dxa"/>
            <w:vAlign w:val="center"/>
          </w:tcPr>
          <w:p w14:paraId="2B5F787C">
            <w:pPr>
              <w:pStyle w:val="20"/>
              <w:jc w:val="center"/>
              <w:rPr>
                <w:rFonts w:cs="宋体"/>
                <w:shd w:val="clear" w:color="auto" w:fill="auto"/>
              </w:rPr>
            </w:pPr>
          </w:p>
        </w:tc>
        <w:tc>
          <w:tcPr>
            <w:tcW w:w="1951" w:type="dxa"/>
            <w:vAlign w:val="center"/>
          </w:tcPr>
          <w:p w14:paraId="00DD97AF">
            <w:pPr>
              <w:pStyle w:val="20"/>
              <w:jc w:val="center"/>
              <w:rPr>
                <w:rFonts w:cs="宋体"/>
                <w:shd w:val="clear" w:color="auto" w:fill="auto"/>
              </w:rPr>
            </w:pPr>
          </w:p>
        </w:tc>
        <w:tc>
          <w:tcPr>
            <w:tcW w:w="1764" w:type="dxa"/>
            <w:vAlign w:val="center"/>
          </w:tcPr>
          <w:p w14:paraId="4554FDEF">
            <w:pPr>
              <w:pStyle w:val="20"/>
              <w:jc w:val="center"/>
              <w:rPr>
                <w:rFonts w:cs="宋体"/>
                <w:shd w:val="clear" w:color="auto" w:fill="auto"/>
              </w:rPr>
            </w:pPr>
          </w:p>
        </w:tc>
        <w:tc>
          <w:tcPr>
            <w:tcW w:w="1620" w:type="dxa"/>
            <w:vAlign w:val="center"/>
          </w:tcPr>
          <w:p w14:paraId="645BD37B">
            <w:pPr>
              <w:pStyle w:val="20"/>
              <w:jc w:val="center"/>
              <w:rPr>
                <w:rFonts w:cs="宋体"/>
                <w:shd w:val="clear" w:color="auto" w:fill="auto"/>
              </w:rPr>
            </w:pPr>
          </w:p>
        </w:tc>
        <w:tc>
          <w:tcPr>
            <w:tcW w:w="948" w:type="dxa"/>
            <w:vAlign w:val="center"/>
          </w:tcPr>
          <w:p w14:paraId="1CA3D610">
            <w:pPr>
              <w:pStyle w:val="20"/>
              <w:jc w:val="center"/>
              <w:rPr>
                <w:rFonts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0"/>
              <w:jc w:val="center"/>
              <w:rPr>
                <w:rFonts w:cs="宋体"/>
                <w:shd w:val="clear" w:color="auto" w:fill="auto"/>
              </w:rPr>
            </w:pPr>
          </w:p>
        </w:tc>
        <w:tc>
          <w:tcPr>
            <w:tcW w:w="2579" w:type="dxa"/>
            <w:vAlign w:val="center"/>
          </w:tcPr>
          <w:p w14:paraId="7A301477">
            <w:pPr>
              <w:pStyle w:val="20"/>
              <w:jc w:val="center"/>
              <w:rPr>
                <w:rFonts w:cs="宋体"/>
                <w:shd w:val="clear" w:color="auto" w:fill="auto"/>
              </w:rPr>
            </w:pPr>
          </w:p>
        </w:tc>
        <w:tc>
          <w:tcPr>
            <w:tcW w:w="1951" w:type="dxa"/>
            <w:vAlign w:val="center"/>
          </w:tcPr>
          <w:p w14:paraId="10A1B417">
            <w:pPr>
              <w:pStyle w:val="20"/>
              <w:jc w:val="center"/>
              <w:rPr>
                <w:rFonts w:cs="宋体"/>
                <w:shd w:val="clear" w:color="auto" w:fill="auto"/>
              </w:rPr>
            </w:pPr>
          </w:p>
        </w:tc>
        <w:tc>
          <w:tcPr>
            <w:tcW w:w="1764" w:type="dxa"/>
            <w:vAlign w:val="center"/>
          </w:tcPr>
          <w:p w14:paraId="7421D991">
            <w:pPr>
              <w:pStyle w:val="20"/>
              <w:jc w:val="center"/>
              <w:rPr>
                <w:rFonts w:cs="宋体"/>
                <w:shd w:val="clear" w:color="auto" w:fill="auto"/>
              </w:rPr>
            </w:pPr>
          </w:p>
        </w:tc>
        <w:tc>
          <w:tcPr>
            <w:tcW w:w="1620" w:type="dxa"/>
            <w:vAlign w:val="center"/>
          </w:tcPr>
          <w:p w14:paraId="1F4140D0">
            <w:pPr>
              <w:pStyle w:val="20"/>
              <w:jc w:val="center"/>
              <w:rPr>
                <w:rFonts w:cs="宋体"/>
                <w:shd w:val="clear" w:color="auto" w:fill="auto"/>
              </w:rPr>
            </w:pPr>
          </w:p>
        </w:tc>
        <w:tc>
          <w:tcPr>
            <w:tcW w:w="948" w:type="dxa"/>
            <w:vAlign w:val="center"/>
          </w:tcPr>
          <w:p w14:paraId="290A5B31">
            <w:pPr>
              <w:pStyle w:val="20"/>
              <w:jc w:val="center"/>
              <w:rPr>
                <w:rFonts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0"/>
              <w:jc w:val="center"/>
              <w:rPr>
                <w:rFonts w:cs="宋体"/>
                <w:shd w:val="clear" w:color="auto" w:fill="auto"/>
              </w:rPr>
            </w:pPr>
          </w:p>
        </w:tc>
        <w:tc>
          <w:tcPr>
            <w:tcW w:w="2579" w:type="dxa"/>
            <w:vAlign w:val="center"/>
          </w:tcPr>
          <w:p w14:paraId="4F9F817C">
            <w:pPr>
              <w:pStyle w:val="20"/>
              <w:jc w:val="center"/>
              <w:rPr>
                <w:rFonts w:cs="宋体"/>
                <w:shd w:val="clear" w:color="auto" w:fill="auto"/>
              </w:rPr>
            </w:pPr>
          </w:p>
        </w:tc>
        <w:tc>
          <w:tcPr>
            <w:tcW w:w="1951" w:type="dxa"/>
            <w:vAlign w:val="center"/>
          </w:tcPr>
          <w:p w14:paraId="34EFB653">
            <w:pPr>
              <w:pStyle w:val="20"/>
              <w:jc w:val="center"/>
              <w:rPr>
                <w:rFonts w:cs="宋体"/>
                <w:shd w:val="clear" w:color="auto" w:fill="auto"/>
              </w:rPr>
            </w:pPr>
          </w:p>
        </w:tc>
        <w:tc>
          <w:tcPr>
            <w:tcW w:w="1764" w:type="dxa"/>
            <w:vAlign w:val="center"/>
          </w:tcPr>
          <w:p w14:paraId="7AC78127">
            <w:pPr>
              <w:pStyle w:val="20"/>
              <w:jc w:val="center"/>
              <w:rPr>
                <w:rFonts w:cs="宋体"/>
                <w:shd w:val="clear" w:color="auto" w:fill="auto"/>
              </w:rPr>
            </w:pPr>
          </w:p>
        </w:tc>
        <w:tc>
          <w:tcPr>
            <w:tcW w:w="1620" w:type="dxa"/>
            <w:vAlign w:val="center"/>
          </w:tcPr>
          <w:p w14:paraId="1FE14D34">
            <w:pPr>
              <w:pStyle w:val="20"/>
              <w:jc w:val="center"/>
              <w:rPr>
                <w:rFonts w:cs="宋体"/>
                <w:shd w:val="clear" w:color="auto" w:fill="auto"/>
              </w:rPr>
            </w:pPr>
          </w:p>
        </w:tc>
        <w:tc>
          <w:tcPr>
            <w:tcW w:w="948" w:type="dxa"/>
            <w:vAlign w:val="center"/>
          </w:tcPr>
          <w:p w14:paraId="3058DB4C">
            <w:pPr>
              <w:pStyle w:val="20"/>
              <w:jc w:val="center"/>
              <w:rPr>
                <w:rFonts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0"/>
              <w:ind w:left="0" w:firstLine="0"/>
              <w:jc w:val="center"/>
              <w:rPr>
                <w:rFonts w:cs="宋体"/>
                <w:shd w:val="clear" w:color="auto" w:fill="auto"/>
              </w:rPr>
            </w:pPr>
            <w:r>
              <w:rPr>
                <w:rFonts w:hint="eastAsia" w:cs="宋体"/>
                <w:shd w:val="clear" w:color="auto" w:fill="auto"/>
              </w:rPr>
              <w:t>总价（元）：</w:t>
            </w:r>
          </w:p>
        </w:tc>
        <w:tc>
          <w:tcPr>
            <w:tcW w:w="6283" w:type="dxa"/>
            <w:gridSpan w:val="4"/>
            <w:vAlign w:val="center"/>
          </w:tcPr>
          <w:p w14:paraId="06909F32">
            <w:pPr>
              <w:pStyle w:val="20"/>
              <w:jc w:val="center"/>
              <w:rPr>
                <w:rFonts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0"/>
              <w:ind w:left="0" w:firstLine="0"/>
              <w:jc w:val="center"/>
              <w:rPr>
                <w:rFonts w:cs="宋体"/>
                <w:shd w:val="clear" w:color="auto" w:fill="auto"/>
              </w:rPr>
            </w:pPr>
            <w:r>
              <w:rPr>
                <w:rFonts w:hint="eastAsia" w:cs="宋体"/>
                <w:shd w:val="clear" w:color="auto" w:fill="auto"/>
              </w:rPr>
              <w:t>总价（大写）：</w:t>
            </w:r>
          </w:p>
        </w:tc>
        <w:tc>
          <w:tcPr>
            <w:tcW w:w="6283" w:type="dxa"/>
            <w:gridSpan w:val="4"/>
            <w:vAlign w:val="center"/>
          </w:tcPr>
          <w:p w14:paraId="5B7C794F">
            <w:pPr>
              <w:pStyle w:val="20"/>
              <w:jc w:val="center"/>
              <w:rPr>
                <w:rFonts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0"/>
              <w:ind w:left="0" w:firstLine="0"/>
              <w:jc w:val="center"/>
              <w:rPr>
                <w:rFonts w:cs="宋体"/>
                <w:shd w:val="clear" w:color="auto" w:fill="auto"/>
              </w:rPr>
            </w:pPr>
            <w:r>
              <w:rPr>
                <w:rFonts w:hint="eastAsia" w:cs="宋体"/>
                <w:shd w:val="clear" w:color="auto" w:fill="auto"/>
              </w:rPr>
              <w:t>备注：</w:t>
            </w:r>
          </w:p>
        </w:tc>
        <w:tc>
          <w:tcPr>
            <w:tcW w:w="6283" w:type="dxa"/>
            <w:gridSpan w:val="4"/>
            <w:vAlign w:val="center"/>
          </w:tcPr>
          <w:p w14:paraId="08791EBC">
            <w:pPr>
              <w:pStyle w:val="20"/>
              <w:jc w:val="center"/>
              <w:rPr>
                <w:rFonts w:cs="宋体"/>
                <w:shd w:val="clear" w:color="auto" w:fill="auto"/>
              </w:rPr>
            </w:pPr>
          </w:p>
        </w:tc>
      </w:tr>
    </w:tbl>
    <w:p w14:paraId="29474352">
      <w:pPr>
        <w:pStyle w:val="2"/>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2"/>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2"/>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40"/>
        <w:gridCol w:w="5208"/>
        <w:gridCol w:w="1098"/>
        <w:gridCol w:w="1267"/>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ascii="宋体" w:hAnsi="宋体"/>
                <w:color w:val="000000"/>
                <w:sz w:val="22"/>
                <w:szCs w:val="22"/>
              </w:rPr>
            </w:pPr>
          </w:p>
        </w:tc>
        <w:tc>
          <w:tcPr>
            <w:tcW w:w="688"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1"/>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ascii="宋体" w:hAnsi="宋体"/>
                <w:color w:val="000000"/>
                <w:sz w:val="22"/>
                <w:szCs w:val="22"/>
              </w:rPr>
            </w:pPr>
          </w:p>
        </w:tc>
        <w:tc>
          <w:tcPr>
            <w:tcW w:w="688"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ascii="宋体" w:hAnsi="宋体"/>
                <w:color w:val="000000"/>
                <w:sz w:val="22"/>
                <w:szCs w:val="22"/>
              </w:rPr>
            </w:pPr>
          </w:p>
        </w:tc>
        <w:tc>
          <w:tcPr>
            <w:tcW w:w="688"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shd w:val="clear" w:color="auto" w:fill="auto"/>
            <w:vAlign w:val="center"/>
          </w:tcPr>
          <w:p w14:paraId="7DEDA2D3">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033ADA80">
            <w:pPr>
              <w:adjustRightInd w:val="0"/>
              <w:snapToGrid w:val="0"/>
              <w:spacing w:line="288" w:lineRule="auto"/>
              <w:jc w:val="center"/>
              <w:rPr>
                <w:rFonts w:ascii="宋体" w:hAnsi="宋体"/>
                <w:color w:val="000000"/>
                <w:sz w:val="22"/>
                <w:szCs w:val="22"/>
              </w:rPr>
            </w:pPr>
          </w:p>
        </w:tc>
        <w:tc>
          <w:tcPr>
            <w:tcW w:w="688" w:type="pct"/>
            <w:vAlign w:val="center"/>
          </w:tcPr>
          <w:p w14:paraId="53A01A62">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11346D45">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2"/>
        </w:numPr>
        <w:jc w:val="left"/>
        <w:rPr>
          <w:rFonts w:ascii="宋体" w:hAnsi="宋体"/>
          <w:b/>
          <w:color w:val="000000"/>
          <w:sz w:val="24"/>
        </w:rPr>
      </w:pPr>
      <w:r>
        <w:rPr>
          <w:rFonts w:hint="eastAsia" w:ascii="宋体" w:hAnsi="宋体"/>
          <w:b/>
          <w:color w:val="000000"/>
          <w:sz w:val="24"/>
        </w:rPr>
        <w:t>符合性审查响应表</w:t>
      </w:r>
    </w:p>
    <w:p w14:paraId="2D1AC062">
      <w:pPr>
        <w:pStyle w:val="2"/>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3"/>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2"/>
        </w:numPr>
        <w:jc w:val="left"/>
        <w:rPr>
          <w:rFonts w:ascii="宋体" w:hAnsi="宋体"/>
          <w:b/>
          <w:color w:val="000000"/>
          <w:sz w:val="24"/>
        </w:rPr>
      </w:pPr>
      <w:r>
        <w:rPr>
          <w:rFonts w:hint="eastAsia" w:ascii="宋体" w:hAnsi="宋体"/>
          <w:b/>
          <w:color w:val="000000"/>
          <w:sz w:val="24"/>
        </w:rPr>
        <w:t>资格证明文件</w:t>
      </w:r>
    </w:p>
    <w:p w14:paraId="69B21597">
      <w:pPr>
        <w:pStyle w:val="2"/>
        <w:rPr>
          <w:rFonts w:ascii="宋体" w:hAnsi="宋体"/>
          <w:b/>
          <w:color w:val="000000"/>
          <w:sz w:val="24"/>
        </w:rPr>
      </w:pPr>
    </w:p>
    <w:p w14:paraId="6817925C">
      <w:pPr>
        <w:numPr>
          <w:ilvl w:val="0"/>
          <w:numId w:val="14"/>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2"/>
        <w:rPr>
          <w:rFonts w:ascii="宋体" w:hAnsi="宋体"/>
          <w:b/>
          <w:color w:val="000000"/>
          <w:sz w:val="24"/>
        </w:rPr>
      </w:pPr>
    </w:p>
    <w:p w14:paraId="47A9CE7C">
      <w:pPr>
        <w:numPr>
          <w:ilvl w:val="0"/>
          <w:numId w:val="14"/>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4"/>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4"/>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4"/>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6A05E1A4">
      <w:pPr>
        <w:pStyle w:val="2"/>
      </w:pPr>
    </w:p>
    <w:p w14:paraId="52176543">
      <w:pPr>
        <w:spacing w:line="360" w:lineRule="auto"/>
        <w:rPr>
          <w:rFonts w:ascii="宋体" w:hAnsi="宋体"/>
          <w:sz w:val="24"/>
        </w:rPr>
      </w:pPr>
    </w:p>
    <w:p w14:paraId="563D7A4E">
      <w:pPr>
        <w:pStyle w:val="2"/>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3"/>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3"/>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3"/>
        <w:autoSpaceDE w:val="0"/>
        <w:autoSpaceDN w:val="0"/>
        <w:spacing w:before="120" w:after="120"/>
        <w:jc w:val="left"/>
        <w:rPr>
          <w:rFonts w:ascii="宋体" w:hAnsi="宋体" w:eastAsia="宋体" w:cs="宋体"/>
        </w:rPr>
      </w:pPr>
    </w:p>
    <w:p w14:paraId="7FEA8844">
      <w:pPr>
        <w:pStyle w:val="33"/>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3"/>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3"/>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3"/>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3"/>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3"/>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法人代表签字或盖章：</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2"/>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2"/>
        <w:rPr>
          <w:rFonts w:ascii="宋体" w:hAnsi="宋体" w:cs="宋体"/>
          <w:sz w:val="24"/>
          <w:u w:val="single"/>
        </w:rPr>
      </w:pPr>
    </w:p>
    <w:p w14:paraId="499B3638">
      <w:pPr>
        <w:pStyle w:val="2"/>
        <w:rPr>
          <w:rFonts w:ascii="宋体" w:hAnsi="宋体" w:cs="宋体"/>
          <w:sz w:val="24"/>
          <w:u w:val="single"/>
        </w:rPr>
      </w:pPr>
    </w:p>
    <w:p w14:paraId="072B5D47">
      <w:pPr>
        <w:pStyle w:val="2"/>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2"/>
      </w:pPr>
    </w:p>
    <w:p w14:paraId="7218F98F">
      <w:pPr>
        <w:pStyle w:val="2"/>
      </w:pPr>
    </w:p>
    <w:p w14:paraId="7D70F0A6">
      <w:pPr>
        <w:pStyle w:val="2"/>
      </w:pPr>
    </w:p>
    <w:p w14:paraId="28E8FAAF">
      <w:pPr>
        <w:pStyle w:val="2"/>
      </w:pPr>
    </w:p>
    <w:p w14:paraId="3662A0D9">
      <w:pPr>
        <w:pStyle w:val="2"/>
      </w:pPr>
    </w:p>
    <w:p w14:paraId="30F7D075">
      <w:pPr>
        <w:pStyle w:val="2"/>
      </w:pPr>
    </w:p>
    <w:p w14:paraId="4A4BB30D">
      <w:pPr>
        <w:pStyle w:val="2"/>
      </w:pPr>
    </w:p>
    <w:p w14:paraId="29837752">
      <w:pPr>
        <w:pStyle w:val="2"/>
      </w:pPr>
    </w:p>
    <w:p w14:paraId="1F9F384D">
      <w:pPr>
        <w:pStyle w:val="2"/>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5"/>
        </w:numPr>
        <w:spacing w:line="360" w:lineRule="auto"/>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9"/>
        <w:numPr>
          <w:ilvl w:val="0"/>
          <w:numId w:val="15"/>
        </w:numPr>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9"/>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9"/>
      </w:pPr>
    </w:p>
    <w:p w14:paraId="54B33084">
      <w:pPr>
        <w:pStyle w:val="9"/>
        <w:rPr>
          <w:rFonts w:ascii="宋体" w:hAnsi="宋体"/>
          <w:color w:val="000000"/>
          <w:sz w:val="24"/>
          <w:szCs w:val="20"/>
        </w:rPr>
      </w:pPr>
    </w:p>
    <w:p w14:paraId="2543361E">
      <w:pPr>
        <w:numPr>
          <w:ilvl w:val="0"/>
          <w:numId w:val="15"/>
        </w:numPr>
        <w:spacing w:line="360" w:lineRule="auto"/>
        <w:jc w:val="left"/>
        <w:rPr>
          <w:rFonts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2"/>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2"/>
      </w:pPr>
    </w:p>
    <w:p w14:paraId="6FB88A9B">
      <w:pPr>
        <w:pStyle w:val="2"/>
      </w:pPr>
    </w:p>
    <w:p w14:paraId="46751778">
      <w:pPr>
        <w:pStyle w:val="2"/>
      </w:pPr>
    </w:p>
    <w:p w14:paraId="33A97D9F">
      <w:pPr>
        <w:pStyle w:val="2"/>
      </w:pPr>
    </w:p>
    <w:p w14:paraId="0DFEA720">
      <w:pPr>
        <w:pStyle w:val="2"/>
      </w:pPr>
    </w:p>
    <w:p w14:paraId="7F7A859C">
      <w:pPr>
        <w:pStyle w:val="2"/>
      </w:pPr>
    </w:p>
    <w:p w14:paraId="69C4B0E8">
      <w:pPr>
        <w:pStyle w:val="2"/>
      </w:pPr>
    </w:p>
    <w:p w14:paraId="17D9F938">
      <w:pPr>
        <w:pStyle w:val="2"/>
      </w:pPr>
    </w:p>
    <w:p w14:paraId="4D78E1F7">
      <w:pPr>
        <w:pStyle w:val="2"/>
      </w:pPr>
    </w:p>
    <w:p w14:paraId="7090B2AB">
      <w:pPr>
        <w:pStyle w:val="2"/>
      </w:pPr>
    </w:p>
    <w:p w14:paraId="12C9B24A">
      <w:pPr>
        <w:pStyle w:val="2"/>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2"/>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315A663C">
      <w:pPr>
        <w:rPr>
          <w:rFonts w:ascii="宋体" w:hAnsi="宋体"/>
          <w:b/>
          <w:color w:val="000000"/>
          <w:sz w:val="24"/>
        </w:rPr>
      </w:pPr>
      <w:r>
        <w:rPr>
          <w:rFonts w:hint="eastAsia" w:ascii="宋体" w:hAnsi="宋体" w:cs="宋体"/>
          <w:sz w:val="24"/>
        </w:rPr>
        <w:br w:type="page"/>
      </w:r>
      <w:r>
        <w:rPr>
          <w:rFonts w:hint="eastAsia" w:ascii="宋体" w:hAnsi="宋体"/>
          <w:b/>
          <w:color w:val="000000"/>
          <w:sz w:val="24"/>
        </w:rPr>
        <w:t>六、服务方案（格式自拟）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0F6B9FF1">
      <w:pPr>
        <w:rPr>
          <w:rFonts w:ascii="宋体" w:hAnsi="宋体"/>
          <w:b/>
          <w:color w:val="000000"/>
          <w:sz w:val="24"/>
        </w:rPr>
      </w:pPr>
      <w:r>
        <w:rPr>
          <w:rFonts w:hint="eastAsia" w:ascii="宋体" w:hAnsi="宋体"/>
          <w:b/>
          <w:color w:val="000000"/>
          <w:sz w:val="24"/>
        </w:rPr>
        <w:t>七、服务承诺（格式自拟）</w:t>
      </w:r>
    </w:p>
    <w:p w14:paraId="1981B5B9">
      <w:pPr>
        <w:rPr>
          <w:rFonts w:ascii="宋体" w:hAnsi="宋体"/>
          <w:b/>
          <w:color w:val="000000"/>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八、用户名单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九、参选人认为需要补充的其他资料</w:t>
      </w:r>
    </w:p>
    <w:p w14:paraId="400983DA">
      <w:pPr>
        <w:pStyle w:val="2"/>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581A8"/>
    <w:multiLevelType w:val="multilevel"/>
    <w:tmpl w:val="DBA581A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ED0CE4FB"/>
    <w:multiLevelType w:val="singleLevel"/>
    <w:tmpl w:val="ED0CE4FB"/>
    <w:lvl w:ilvl="0" w:tentative="0">
      <w:start w:val="1"/>
      <w:numFmt w:val="decimal"/>
      <w:lvlText w:val="(%1)"/>
      <w:lvlJc w:val="left"/>
      <w:pPr>
        <w:ind w:left="425" w:hanging="425"/>
      </w:pPr>
      <w:rPr>
        <w:rFonts w:hint="default"/>
      </w:rPr>
    </w:lvl>
  </w:abstractNum>
  <w:abstractNum w:abstractNumId="2">
    <w:nsid w:val="F0F73F5C"/>
    <w:multiLevelType w:val="singleLevel"/>
    <w:tmpl w:val="F0F73F5C"/>
    <w:lvl w:ilvl="0" w:tentative="0">
      <w:start w:val="1"/>
      <w:numFmt w:val="decimal"/>
      <w:lvlText w:val="(%1)"/>
      <w:lvlJc w:val="left"/>
      <w:pPr>
        <w:ind w:left="425" w:hanging="425"/>
      </w:pPr>
      <w:rPr>
        <w:rFonts w:hint="default"/>
      </w:rPr>
    </w:lvl>
  </w:abstractNum>
  <w:abstractNum w:abstractNumId="3">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4"/>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4">
    <w:nsid w:val="06157ABB"/>
    <w:multiLevelType w:val="singleLevel"/>
    <w:tmpl w:val="06157ABB"/>
    <w:lvl w:ilvl="0" w:tentative="0">
      <w:start w:val="2"/>
      <w:numFmt w:val="chineseCounting"/>
      <w:suff w:val="nothing"/>
      <w:lvlText w:val="%1、"/>
      <w:lvlJc w:val="left"/>
      <w:rPr>
        <w:rFonts w:hint="eastAsia"/>
      </w:rPr>
    </w:lvl>
  </w:abstractNum>
  <w:abstractNum w:abstractNumId="5">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606CD3"/>
    <w:multiLevelType w:val="singleLevel"/>
    <w:tmpl w:val="15606CD3"/>
    <w:lvl w:ilvl="0" w:tentative="0">
      <w:start w:val="1"/>
      <w:numFmt w:val="decimal"/>
      <w:suff w:val="nothing"/>
      <w:lvlText w:val="%1、"/>
      <w:lvlJc w:val="left"/>
      <w:rPr>
        <w:rFonts w:hint="default"/>
        <w:b w:val="0"/>
        <w:bCs w:val="0"/>
      </w:rPr>
    </w:lvl>
  </w:abstractNum>
  <w:abstractNum w:abstractNumId="8">
    <w:nsid w:val="271E5253"/>
    <w:multiLevelType w:val="singleLevel"/>
    <w:tmpl w:val="271E5253"/>
    <w:lvl w:ilvl="0" w:tentative="0">
      <w:start w:val="1"/>
      <w:numFmt w:val="decimal"/>
      <w:lvlText w:val="(%1)"/>
      <w:lvlJc w:val="left"/>
      <w:pPr>
        <w:ind w:left="425" w:hanging="425"/>
      </w:pPr>
      <w:rPr>
        <w:rFonts w:hint="default"/>
      </w:rPr>
    </w:lvl>
  </w:abstractNum>
  <w:abstractNum w:abstractNumId="9">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396FD0"/>
    <w:multiLevelType w:val="singleLevel"/>
    <w:tmpl w:val="34396FD0"/>
    <w:lvl w:ilvl="0" w:tentative="0">
      <w:start w:val="1"/>
      <w:numFmt w:val="decimal"/>
      <w:lvlText w:val="(%1)"/>
      <w:lvlJc w:val="left"/>
      <w:pPr>
        <w:ind w:left="425" w:hanging="425"/>
      </w:pPr>
      <w:rPr>
        <w:rFonts w:hint="default"/>
      </w:rPr>
    </w:lvl>
  </w:abstractNum>
  <w:abstractNum w:abstractNumId="11">
    <w:nsid w:val="4F968C7E"/>
    <w:multiLevelType w:val="singleLevel"/>
    <w:tmpl w:val="4F968C7E"/>
    <w:lvl w:ilvl="0" w:tentative="0">
      <w:start w:val="1"/>
      <w:numFmt w:val="chineseCounting"/>
      <w:suff w:val="nothing"/>
      <w:lvlText w:val="%1、"/>
      <w:lvlJc w:val="left"/>
      <w:rPr>
        <w:rFonts w:hint="eastAsia"/>
        <w:b/>
        <w:bCs/>
      </w:rPr>
    </w:lvl>
  </w:abstractNum>
  <w:abstractNum w:abstractNumId="12">
    <w:nsid w:val="55749F86"/>
    <w:multiLevelType w:val="singleLevel"/>
    <w:tmpl w:val="55749F86"/>
    <w:lvl w:ilvl="0" w:tentative="0">
      <w:start w:val="1"/>
      <w:numFmt w:val="decimal"/>
      <w:lvlText w:val="%1."/>
      <w:lvlJc w:val="left"/>
      <w:pPr>
        <w:tabs>
          <w:tab w:val="left" w:pos="312"/>
        </w:tabs>
      </w:pPr>
    </w:lvl>
  </w:abstractNum>
  <w:abstractNum w:abstractNumId="13">
    <w:nsid w:val="665B2A96"/>
    <w:multiLevelType w:val="singleLevel"/>
    <w:tmpl w:val="665B2A96"/>
    <w:lvl w:ilvl="0" w:tentative="0">
      <w:start w:val="2"/>
      <w:numFmt w:val="chineseCounting"/>
      <w:suff w:val="space"/>
      <w:lvlText w:val="第%1章"/>
      <w:lvlJc w:val="left"/>
      <w:rPr>
        <w:rFonts w:hint="eastAsia"/>
      </w:rPr>
    </w:lvl>
  </w:abstractNum>
  <w:abstractNum w:abstractNumId="14">
    <w:nsid w:val="6DAC2DAB"/>
    <w:multiLevelType w:val="singleLevel"/>
    <w:tmpl w:val="6DAC2DAB"/>
    <w:lvl w:ilvl="0" w:tentative="0">
      <w:start w:val="3"/>
      <w:numFmt w:val="chineseCounting"/>
      <w:suff w:val="space"/>
      <w:lvlText w:val="第%1章"/>
      <w:lvlJc w:val="left"/>
      <w:rPr>
        <w:rFonts w:hint="eastAsia"/>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8"/>
  </w:num>
  <w:num w:numId="6">
    <w:abstractNumId w:val="2"/>
  </w:num>
  <w:num w:numId="7">
    <w:abstractNumId w:val="13"/>
  </w:num>
  <w:num w:numId="8">
    <w:abstractNumId w:val="11"/>
  </w:num>
  <w:num w:numId="9">
    <w:abstractNumId w:val="0"/>
  </w:num>
  <w:num w:numId="10">
    <w:abstractNumId w:val="14"/>
  </w:num>
  <w:num w:numId="11">
    <w:abstractNumId w:val="9"/>
  </w:num>
  <w:num w:numId="12">
    <w:abstractNumId w:val="4"/>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91D8A"/>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A3F63"/>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A12F0"/>
    <w:rsid w:val="007B7299"/>
    <w:rsid w:val="00820A56"/>
    <w:rsid w:val="00830720"/>
    <w:rsid w:val="0085507C"/>
    <w:rsid w:val="0086563F"/>
    <w:rsid w:val="00871A3B"/>
    <w:rsid w:val="008A5317"/>
    <w:rsid w:val="008C174C"/>
    <w:rsid w:val="008C4C99"/>
    <w:rsid w:val="008F63CF"/>
    <w:rsid w:val="00946B48"/>
    <w:rsid w:val="009C163D"/>
    <w:rsid w:val="009E0B8F"/>
    <w:rsid w:val="00A374FF"/>
    <w:rsid w:val="00A64A6E"/>
    <w:rsid w:val="00AA10CD"/>
    <w:rsid w:val="00AC7C38"/>
    <w:rsid w:val="00AD4561"/>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20C4F"/>
    <w:rsid w:val="00D400A1"/>
    <w:rsid w:val="00D85B82"/>
    <w:rsid w:val="00DC33FD"/>
    <w:rsid w:val="00DE17A4"/>
    <w:rsid w:val="00E134F1"/>
    <w:rsid w:val="00E40655"/>
    <w:rsid w:val="00E431B0"/>
    <w:rsid w:val="00E617C2"/>
    <w:rsid w:val="00E65211"/>
    <w:rsid w:val="00E74A20"/>
    <w:rsid w:val="00EB553D"/>
    <w:rsid w:val="00EB64D2"/>
    <w:rsid w:val="00EC0807"/>
    <w:rsid w:val="00ED7F34"/>
    <w:rsid w:val="00EF3DE1"/>
    <w:rsid w:val="00EF3F06"/>
    <w:rsid w:val="00F15BF5"/>
    <w:rsid w:val="00F64FFF"/>
    <w:rsid w:val="00F73696"/>
    <w:rsid w:val="00F7584C"/>
    <w:rsid w:val="00F94D09"/>
    <w:rsid w:val="014A68C8"/>
    <w:rsid w:val="01594BE2"/>
    <w:rsid w:val="02444EC6"/>
    <w:rsid w:val="0310259B"/>
    <w:rsid w:val="0357066F"/>
    <w:rsid w:val="05207027"/>
    <w:rsid w:val="056C2D54"/>
    <w:rsid w:val="05BE3ADF"/>
    <w:rsid w:val="06A71963"/>
    <w:rsid w:val="07CC3CE5"/>
    <w:rsid w:val="07FC03D1"/>
    <w:rsid w:val="07FF5C5B"/>
    <w:rsid w:val="085A7398"/>
    <w:rsid w:val="087F31D5"/>
    <w:rsid w:val="09470CDB"/>
    <w:rsid w:val="094C4865"/>
    <w:rsid w:val="09746C78"/>
    <w:rsid w:val="0A927532"/>
    <w:rsid w:val="0B056827"/>
    <w:rsid w:val="0BA67A2B"/>
    <w:rsid w:val="0BC84EB1"/>
    <w:rsid w:val="0CA93B2B"/>
    <w:rsid w:val="0CB365D0"/>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3E1043A"/>
    <w:rsid w:val="149E3943"/>
    <w:rsid w:val="153B5BB0"/>
    <w:rsid w:val="15931E04"/>
    <w:rsid w:val="167D3F07"/>
    <w:rsid w:val="1722351A"/>
    <w:rsid w:val="176364BB"/>
    <w:rsid w:val="17807FD2"/>
    <w:rsid w:val="17DB3911"/>
    <w:rsid w:val="18995C87"/>
    <w:rsid w:val="19AF0388"/>
    <w:rsid w:val="1AE86D22"/>
    <w:rsid w:val="1B2858DB"/>
    <w:rsid w:val="1B5A708E"/>
    <w:rsid w:val="1B812479"/>
    <w:rsid w:val="1B994D2B"/>
    <w:rsid w:val="1BE303B4"/>
    <w:rsid w:val="1CA73DFC"/>
    <w:rsid w:val="1D880F0B"/>
    <w:rsid w:val="1DDA0DF5"/>
    <w:rsid w:val="1DDE59E8"/>
    <w:rsid w:val="1DF82BF7"/>
    <w:rsid w:val="1E322D19"/>
    <w:rsid w:val="1ED727A8"/>
    <w:rsid w:val="1F1D5F5B"/>
    <w:rsid w:val="1F9667C1"/>
    <w:rsid w:val="1FD066AB"/>
    <w:rsid w:val="207756F7"/>
    <w:rsid w:val="20AE6A1D"/>
    <w:rsid w:val="20DC0F2D"/>
    <w:rsid w:val="21AD19D1"/>
    <w:rsid w:val="21DD027E"/>
    <w:rsid w:val="22355A45"/>
    <w:rsid w:val="224D1A14"/>
    <w:rsid w:val="22A53293"/>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71699B"/>
    <w:rsid w:val="2DD973F2"/>
    <w:rsid w:val="2DFD3557"/>
    <w:rsid w:val="2E2456A8"/>
    <w:rsid w:val="2E254C7B"/>
    <w:rsid w:val="2E2B75C3"/>
    <w:rsid w:val="2E664977"/>
    <w:rsid w:val="2FC54136"/>
    <w:rsid w:val="2FEB22E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1F787E"/>
    <w:rsid w:val="3C4147DF"/>
    <w:rsid w:val="3C9E66E9"/>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3324756"/>
    <w:rsid w:val="446A3B24"/>
    <w:rsid w:val="4524248D"/>
    <w:rsid w:val="454229EF"/>
    <w:rsid w:val="456C6563"/>
    <w:rsid w:val="45FD5C23"/>
    <w:rsid w:val="46BE34E7"/>
    <w:rsid w:val="47255E31"/>
    <w:rsid w:val="48352241"/>
    <w:rsid w:val="4841120B"/>
    <w:rsid w:val="48543680"/>
    <w:rsid w:val="490B3CA7"/>
    <w:rsid w:val="495C1F18"/>
    <w:rsid w:val="496019FC"/>
    <w:rsid w:val="4A436F54"/>
    <w:rsid w:val="4AAC1378"/>
    <w:rsid w:val="4ADD28AB"/>
    <w:rsid w:val="4B1B1618"/>
    <w:rsid w:val="4B517BA2"/>
    <w:rsid w:val="4B7F1356"/>
    <w:rsid w:val="4C120A11"/>
    <w:rsid w:val="4C427FD1"/>
    <w:rsid w:val="4CF7150B"/>
    <w:rsid w:val="4D996DCE"/>
    <w:rsid w:val="4DAF28F4"/>
    <w:rsid w:val="4E561D53"/>
    <w:rsid w:val="4E792389"/>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BDE237E"/>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0266F88"/>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1ED53C5"/>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D791AE5"/>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qFormat/>
    <w:uiPriority w:val="0"/>
    <w:pPr>
      <w:keepNext/>
      <w:keepLines/>
      <w:spacing w:before="280" w:after="290" w:line="376" w:lineRule="auto"/>
      <w:outlineLvl w:val="3"/>
    </w:pPr>
    <w:rPr>
      <w:rFonts w:ascii="Cambria" w:hAnsi="Cambria"/>
      <w:b/>
      <w:bCs/>
      <w:sz w:val="28"/>
      <w:szCs w:val="28"/>
      <w:lang w:val="zh-CN"/>
    </w:rPr>
  </w:style>
  <w:style w:type="paragraph" w:styleId="7">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9">
    <w:name w:val="annotation text"/>
    <w:basedOn w:val="1"/>
    <w:link w:val="38"/>
    <w:qFormat/>
    <w:uiPriority w:val="0"/>
    <w:pPr>
      <w:jc w:val="left"/>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9"/>
    <w:next w:val="9"/>
    <w:link w:val="39"/>
    <w:qFormat/>
    <w:uiPriority w:val="0"/>
    <w:rPr>
      <w:b/>
      <w:bCs/>
    </w:rPr>
  </w:style>
  <w:style w:type="paragraph" w:styleId="19">
    <w:name w:val="Body Text First Indent"/>
    <w:basedOn w:val="2"/>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FollowedHyperlink"/>
    <w:basedOn w:val="23"/>
    <w:qFormat/>
    <w:uiPriority w:val="0"/>
    <w:rPr>
      <w:color w:val="800080"/>
      <w:u w:val="single"/>
    </w:rPr>
  </w:style>
  <w:style w:type="character" w:styleId="27">
    <w:name w:val="Hyperlink"/>
    <w:unhideWhenUsed/>
    <w:qFormat/>
    <w:uiPriority w:val="0"/>
    <w:rPr>
      <w:color w:val="0000FF"/>
      <w:u w:val="single"/>
    </w:rPr>
  </w:style>
  <w:style w:type="character" w:styleId="28">
    <w:name w:val="annotation reference"/>
    <w:basedOn w:val="23"/>
    <w:qFormat/>
    <w:uiPriority w:val="0"/>
    <w:rPr>
      <w:sz w:val="21"/>
      <w:szCs w:val="21"/>
    </w:rPr>
  </w:style>
  <w:style w:type="paragraph" w:customStyle="1" w:styleId="29">
    <w:name w:val="ITB-0"/>
    <w:basedOn w:val="1"/>
    <w:qFormat/>
    <w:uiPriority w:val="0"/>
    <w:pPr>
      <w:adjustRightInd w:val="0"/>
      <w:jc w:val="center"/>
    </w:pPr>
    <w:rPr>
      <w:b/>
      <w:sz w:val="32"/>
      <w:szCs w:val="20"/>
    </w:rPr>
  </w:style>
  <w:style w:type="paragraph" w:customStyle="1" w:styleId="3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1">
    <w:name w:val="ifb-1"/>
    <w:basedOn w:val="1"/>
    <w:qFormat/>
    <w:uiPriority w:val="0"/>
    <w:pPr>
      <w:ind w:left="420" w:hanging="420"/>
    </w:pPr>
    <w:rPr>
      <w:rFonts w:ascii="楷体_GB2312" w:eastAsia="楷体_GB2312"/>
      <w:szCs w:val="20"/>
    </w:rPr>
  </w:style>
  <w:style w:type="paragraph" w:customStyle="1" w:styleId="32">
    <w:name w:val="列出段落1"/>
    <w:basedOn w:val="1"/>
    <w:qFormat/>
    <w:uiPriority w:val="99"/>
    <w:pPr>
      <w:ind w:firstLine="420" w:firstLineChars="200"/>
    </w:pPr>
    <w:rPr>
      <w:rFonts w:ascii="Calibri" w:hAnsi="Calibri"/>
      <w:szCs w:val="22"/>
    </w:rPr>
  </w:style>
  <w:style w:type="paragraph" w:customStyle="1" w:styleId="33">
    <w:name w:val="att"/>
    <w:basedOn w:val="1"/>
    <w:qFormat/>
    <w:uiPriority w:val="0"/>
    <w:pPr>
      <w:spacing w:line="360" w:lineRule="auto"/>
    </w:pPr>
    <w:rPr>
      <w:rFonts w:eastAsia="楷体_GB2312"/>
      <w:sz w:val="24"/>
      <w:szCs w:val="20"/>
    </w:rPr>
  </w:style>
  <w:style w:type="character" w:customStyle="1" w:styleId="34">
    <w:name w:val="批注框文本 Char"/>
    <w:basedOn w:val="23"/>
    <w:link w:val="13"/>
    <w:qFormat/>
    <w:uiPriority w:val="0"/>
    <w:rPr>
      <w:kern w:val="2"/>
      <w:sz w:val="18"/>
      <w:szCs w:val="18"/>
    </w:rPr>
  </w:style>
  <w:style w:type="paragraph" w:styleId="35">
    <w:name w:val="List Paragraph"/>
    <w:basedOn w:val="1"/>
    <w:qFormat/>
    <w:uiPriority w:val="34"/>
    <w:pPr>
      <w:ind w:firstLine="420" w:firstLineChars="200"/>
    </w:p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fontstyle01"/>
    <w:basedOn w:val="23"/>
    <w:qFormat/>
    <w:uiPriority w:val="0"/>
    <w:rPr>
      <w:rFonts w:hint="default" w:ascii="FZFSK--GBK1-0" w:hAnsi="FZFSK--GBK1-0"/>
      <w:color w:val="333333"/>
      <w:sz w:val="24"/>
      <w:szCs w:val="24"/>
    </w:rPr>
  </w:style>
  <w:style w:type="character" w:customStyle="1" w:styleId="38">
    <w:name w:val="批注文字 Char"/>
    <w:basedOn w:val="23"/>
    <w:link w:val="9"/>
    <w:qFormat/>
    <w:uiPriority w:val="0"/>
    <w:rPr>
      <w:kern w:val="2"/>
      <w:sz w:val="21"/>
      <w:szCs w:val="24"/>
    </w:rPr>
  </w:style>
  <w:style w:type="character" w:customStyle="1" w:styleId="39">
    <w:name w:val="批注主题 Char"/>
    <w:basedOn w:val="38"/>
    <w:link w:val="18"/>
    <w:qFormat/>
    <w:uiPriority w:val="0"/>
    <w:rPr>
      <w:b/>
      <w:bCs/>
      <w:kern w:val="2"/>
      <w:sz w:val="21"/>
      <w:szCs w:val="24"/>
    </w:rPr>
  </w:style>
  <w:style w:type="paragraph" w:customStyle="1" w:styleId="4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51"/>
    <w:basedOn w:val="23"/>
    <w:qFormat/>
    <w:uiPriority w:val="0"/>
    <w:rPr>
      <w:rFonts w:hint="default" w:ascii="Times New Roman" w:hAnsi="Times New Roman" w:cs="Times New Roman"/>
      <w:color w:val="000000"/>
      <w:sz w:val="24"/>
      <w:szCs w:val="24"/>
      <w:u w:val="none"/>
    </w:rPr>
  </w:style>
  <w:style w:type="character" w:customStyle="1" w:styleId="43">
    <w:name w:val="标题 4 Char"/>
    <w:basedOn w:val="23"/>
    <w:link w:val="6"/>
    <w:qFormat/>
    <w:uiPriority w:val="0"/>
    <w:rPr>
      <w:rFonts w:ascii="Cambria" w:hAnsi="Cambria"/>
      <w:b/>
      <w:bCs/>
      <w:kern w:val="2"/>
      <w:sz w:val="28"/>
      <w:szCs w:val="28"/>
      <w:lang w:val="zh-CN" w:eastAsia="zh-CN"/>
    </w:rPr>
  </w:style>
  <w:style w:type="paragraph" w:customStyle="1" w:styleId="44">
    <w:name w:val="正文（缩进）"/>
    <w:basedOn w:val="1"/>
    <w:next w:val="1"/>
    <w:autoRedefine/>
    <w:qFormat/>
    <w:uiPriority w:val="0"/>
    <w:pPr>
      <w:ind w:firstLine="960"/>
    </w:pPr>
    <w:rPr>
      <w:rFonts w:ascii="Calibri" w:hAnsi="Calibri"/>
      <w:spacing w:val="20"/>
      <w:kern w:val="0"/>
    </w:rPr>
  </w:style>
  <w:style w:type="table" w:customStyle="1" w:styleId="45">
    <w:name w:val="Table Normal"/>
    <w:basedOn w:val="21"/>
    <w:qFormat/>
    <w:uiPriority w:val="0"/>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6093</Words>
  <Characters>6844</Characters>
  <Lines>62</Lines>
  <Paragraphs>17</Paragraphs>
  <TotalTime>70</TotalTime>
  <ScaleCrop>false</ScaleCrop>
  <LinksUpToDate>false</LinksUpToDate>
  <CharactersWithSpaces>8015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2025-02-25T06:42:00Z</dcterms:created>
  <dc:creator>user</dc:creator>
  <cp:lastModifiedBy>user</cp:lastModifiedBy>
  <dcterms:modified xsi:type="dcterms:W3CDTF">2025-03-05T00:57:08Z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948C9E9221F4482292AEA7355DE23444</vt:lpwstr>
  </property>
  <property fmtid="{D5CDD505-2E9C-101B-9397-08002B2CF9AE}" pid="4" name="KSOTemplateDocerSaveRecord">
    <vt:lpwstr>eyJoZGlkIjoiMmE4MzRhZmZjZWIyNjE3ZThkMDgzNjcyMWRmM2E1YmUifQ==</vt:lpwstr>
  </property>
</Properties>
</file>